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03E9A0A6" w:rsidR="00877A6C" w:rsidRPr="001F7615" w:rsidRDefault="00904829" w:rsidP="006F7435">
      <w:pPr>
        <w:widowControl w:val="0"/>
        <w:spacing w:after="120"/>
        <w:jc w:val="center"/>
        <w:rPr>
          <w:b/>
          <w:sz w:val="21"/>
          <w:szCs w:val="21"/>
        </w:rPr>
      </w:pPr>
      <w:r w:rsidRPr="001F7615">
        <w:rPr>
          <w:b/>
          <w:sz w:val="21"/>
          <w:szCs w:val="21"/>
        </w:rPr>
        <w:t>ATTO DI SIGNIFICAZIONE</w:t>
      </w:r>
    </w:p>
    <w:p w14:paraId="00000004" w14:textId="4EFA4D08" w:rsidR="00877A6C" w:rsidRPr="001F7615" w:rsidRDefault="0007277D" w:rsidP="006F7435">
      <w:pPr>
        <w:widowControl w:val="0"/>
        <w:spacing w:after="120"/>
        <w:jc w:val="both"/>
        <w:rPr>
          <w:sz w:val="21"/>
          <w:szCs w:val="21"/>
        </w:rPr>
      </w:pPr>
      <w:r w:rsidRPr="001F7615">
        <w:rPr>
          <w:b/>
          <w:sz w:val="21"/>
          <w:szCs w:val="21"/>
          <w:highlight w:val="yellow"/>
        </w:rPr>
        <w:t>&lt;_&gt;</w:t>
      </w:r>
      <w:r w:rsidRPr="001F7615">
        <w:rPr>
          <w:b/>
          <w:sz w:val="21"/>
          <w:szCs w:val="21"/>
        </w:rPr>
        <w:t xml:space="preserve"> </w:t>
      </w:r>
      <w:r w:rsidRPr="001F7615">
        <w:rPr>
          <w:sz w:val="21"/>
          <w:szCs w:val="21"/>
        </w:rPr>
        <w:t>in</w:t>
      </w:r>
      <w:r w:rsidR="00904829" w:rsidRPr="001F7615">
        <w:rPr>
          <w:sz w:val="21"/>
          <w:szCs w:val="21"/>
        </w:rPr>
        <w:t xml:space="preserve"> persona del legale </w:t>
      </w:r>
      <w:r w:rsidRPr="001F7615">
        <w:rPr>
          <w:sz w:val="21"/>
          <w:szCs w:val="21"/>
        </w:rPr>
        <w:t>rappresentante, Sig.</w:t>
      </w:r>
      <w:r w:rsidR="00904829" w:rsidRPr="001F7615">
        <w:rPr>
          <w:sz w:val="21"/>
          <w:szCs w:val="21"/>
        </w:rPr>
        <w:t xml:space="preserve"> </w:t>
      </w:r>
      <w:r w:rsidRPr="001F7615">
        <w:rPr>
          <w:sz w:val="21"/>
          <w:szCs w:val="21"/>
          <w:highlight w:val="yellow"/>
        </w:rPr>
        <w:t>&lt;_&gt;</w:t>
      </w:r>
      <w:r w:rsidR="00904829" w:rsidRPr="001F7615">
        <w:rPr>
          <w:sz w:val="21"/>
          <w:szCs w:val="21"/>
        </w:rPr>
        <w:t xml:space="preserve">, con sede </w:t>
      </w:r>
      <w:r w:rsidRPr="001F7615">
        <w:rPr>
          <w:sz w:val="21"/>
          <w:szCs w:val="21"/>
        </w:rPr>
        <w:t>in &lt;</w:t>
      </w:r>
      <w:r w:rsidRPr="001F7615">
        <w:rPr>
          <w:sz w:val="21"/>
          <w:szCs w:val="21"/>
          <w:highlight w:val="yellow"/>
        </w:rPr>
        <w:t>_&gt;</w:t>
      </w:r>
      <w:r w:rsidRPr="001F7615">
        <w:rPr>
          <w:sz w:val="21"/>
          <w:szCs w:val="21"/>
        </w:rPr>
        <w:t>, via &lt;</w:t>
      </w:r>
      <w:r w:rsidRPr="001F7615">
        <w:rPr>
          <w:sz w:val="21"/>
          <w:szCs w:val="21"/>
          <w:highlight w:val="yellow"/>
        </w:rPr>
        <w:t>_&gt;</w:t>
      </w:r>
    </w:p>
    <w:p w14:paraId="00000005" w14:textId="77777777" w:rsidR="00877A6C" w:rsidRPr="001F7615" w:rsidRDefault="00904829" w:rsidP="006F7435">
      <w:pPr>
        <w:widowControl w:val="0"/>
        <w:spacing w:after="120"/>
        <w:jc w:val="center"/>
        <w:rPr>
          <w:sz w:val="21"/>
          <w:szCs w:val="21"/>
        </w:rPr>
      </w:pPr>
      <w:r w:rsidRPr="001F7615">
        <w:rPr>
          <w:b/>
          <w:bCs/>
          <w:sz w:val="21"/>
          <w:szCs w:val="21"/>
        </w:rPr>
        <w:t>SIGNIFICA</w:t>
      </w:r>
    </w:p>
    <w:p w14:paraId="745FCAD6" w14:textId="704A1A98" w:rsidR="00AA2815" w:rsidRPr="001F7615" w:rsidRDefault="00904829" w:rsidP="006F7435">
      <w:pPr>
        <w:pStyle w:val="Paragrafoelenco"/>
        <w:numPr>
          <w:ilvl w:val="0"/>
          <w:numId w:val="6"/>
        </w:numPr>
        <w:spacing w:after="120"/>
        <w:contextualSpacing w:val="0"/>
        <w:jc w:val="both"/>
        <w:rPr>
          <w:rFonts w:ascii="Times New Roman" w:eastAsia="Times New Roman" w:hAnsi="Times New Roman" w:cs="Times New Roman"/>
          <w:sz w:val="21"/>
          <w:szCs w:val="21"/>
        </w:rPr>
      </w:pPr>
      <w:r w:rsidRPr="001F7615">
        <w:rPr>
          <w:rFonts w:ascii="Times New Roman" w:eastAsia="Times New Roman" w:hAnsi="Times New Roman" w:cs="Times New Roman"/>
          <w:sz w:val="21"/>
          <w:szCs w:val="21"/>
        </w:rPr>
        <w:t xml:space="preserve">All’Agenzia Dogane Monopoli, in persona del </w:t>
      </w:r>
      <w:r w:rsidR="0007277D" w:rsidRPr="001F7615">
        <w:rPr>
          <w:rFonts w:ascii="Times New Roman" w:eastAsia="Times New Roman" w:hAnsi="Times New Roman" w:cs="Times New Roman"/>
          <w:sz w:val="21"/>
          <w:szCs w:val="21"/>
        </w:rPr>
        <w:t>Direttore p.t.</w:t>
      </w:r>
      <w:r w:rsidRPr="001F7615">
        <w:rPr>
          <w:rFonts w:ascii="Times New Roman" w:eastAsia="Times New Roman" w:hAnsi="Times New Roman" w:cs="Times New Roman"/>
          <w:sz w:val="21"/>
          <w:szCs w:val="21"/>
        </w:rPr>
        <w:t xml:space="preserve">, per la carica domiciliato presso la sede </w:t>
      </w:r>
      <w:r w:rsidR="0007277D" w:rsidRPr="001F7615">
        <w:rPr>
          <w:rFonts w:ascii="Times New Roman" w:eastAsia="Times New Roman" w:hAnsi="Times New Roman" w:cs="Times New Roman"/>
          <w:sz w:val="21"/>
          <w:szCs w:val="21"/>
        </w:rPr>
        <w:t>Piazza</w:t>
      </w:r>
      <w:r w:rsidRPr="001F7615">
        <w:rPr>
          <w:rFonts w:ascii="Times New Roman" w:eastAsia="Times New Roman" w:hAnsi="Times New Roman" w:cs="Times New Roman"/>
          <w:sz w:val="21"/>
          <w:szCs w:val="21"/>
        </w:rPr>
        <w:t xml:space="preserve"> Mastai n.11, </w:t>
      </w:r>
      <w:r w:rsidR="00AA2815" w:rsidRPr="001F7615">
        <w:rPr>
          <w:rFonts w:ascii="Times New Roman" w:eastAsia="Times New Roman" w:hAnsi="Times New Roman" w:cs="Times New Roman"/>
          <w:sz w:val="21"/>
          <w:szCs w:val="21"/>
        </w:rPr>
        <w:t>(</w:t>
      </w:r>
      <w:r w:rsidR="00412E7D" w:rsidRPr="001F7615">
        <w:rPr>
          <w:rFonts w:ascii="Times New Roman" w:eastAsia="Times New Roman" w:hAnsi="Times New Roman" w:cs="Times New Roman"/>
          <w:sz w:val="21"/>
          <w:szCs w:val="21"/>
        </w:rPr>
        <w:t>00153</w:t>
      </w:r>
      <w:r w:rsidR="00AA2815" w:rsidRPr="001F7615">
        <w:rPr>
          <w:rFonts w:ascii="Times New Roman" w:eastAsia="Times New Roman" w:hAnsi="Times New Roman" w:cs="Times New Roman"/>
          <w:sz w:val="21"/>
          <w:szCs w:val="21"/>
        </w:rPr>
        <w:t>)</w:t>
      </w:r>
      <w:r w:rsidR="00412E7D" w:rsidRPr="001F7615">
        <w:rPr>
          <w:rFonts w:ascii="Times New Roman" w:eastAsia="Times New Roman" w:hAnsi="Times New Roman" w:cs="Times New Roman"/>
          <w:sz w:val="21"/>
          <w:szCs w:val="21"/>
        </w:rPr>
        <w:t xml:space="preserve"> </w:t>
      </w:r>
      <w:r w:rsidRPr="001F7615">
        <w:rPr>
          <w:rFonts w:ascii="Times New Roman" w:eastAsia="Times New Roman" w:hAnsi="Times New Roman" w:cs="Times New Roman"/>
          <w:sz w:val="21"/>
          <w:szCs w:val="21"/>
        </w:rPr>
        <w:t>Roma</w:t>
      </w:r>
      <w:r w:rsidR="00412E7D" w:rsidRPr="001F7615">
        <w:rPr>
          <w:rFonts w:ascii="Times New Roman" w:eastAsia="Times New Roman" w:hAnsi="Times New Roman" w:cs="Times New Roman"/>
          <w:sz w:val="21"/>
          <w:szCs w:val="21"/>
        </w:rPr>
        <w:t xml:space="preserve"> pec: </w:t>
      </w:r>
      <w:r w:rsidRPr="001F7615">
        <w:rPr>
          <w:rFonts w:ascii="Times New Roman" w:eastAsia="Times New Roman" w:hAnsi="Times New Roman" w:cs="Times New Roman"/>
          <w:sz w:val="21"/>
          <w:szCs w:val="21"/>
        </w:rPr>
        <w:t xml:space="preserve"> </w:t>
      </w:r>
      <w:hyperlink r:id="rId9" w:history="1">
        <w:r w:rsidR="00AA2815" w:rsidRPr="001F7615">
          <w:rPr>
            <w:rStyle w:val="Collegamentoipertestuale"/>
            <w:rFonts w:ascii="Times New Roman" w:eastAsia="Times New Roman" w:hAnsi="Times New Roman" w:cs="Times New Roman"/>
            <w:sz w:val="21"/>
            <w:szCs w:val="21"/>
            <w:shd w:val="clear" w:color="auto" w:fill="FFFFFF"/>
          </w:rPr>
          <w:t>adm.direttore@pec.adm.gov.it</w:t>
        </w:r>
      </w:hyperlink>
    </w:p>
    <w:p w14:paraId="6CE8D29C" w14:textId="1201480E" w:rsidR="00AA2815" w:rsidRPr="001F7615" w:rsidRDefault="00904829" w:rsidP="006F7435">
      <w:pPr>
        <w:pStyle w:val="Paragrafoelenco"/>
        <w:numPr>
          <w:ilvl w:val="0"/>
          <w:numId w:val="6"/>
        </w:numPr>
        <w:spacing w:after="120"/>
        <w:contextualSpacing w:val="0"/>
        <w:jc w:val="both"/>
        <w:rPr>
          <w:rFonts w:ascii="Times New Roman" w:eastAsia="Times New Roman" w:hAnsi="Times New Roman" w:cs="Times New Roman"/>
          <w:sz w:val="21"/>
          <w:szCs w:val="21"/>
        </w:rPr>
      </w:pPr>
      <w:r w:rsidRPr="001F7615">
        <w:rPr>
          <w:rFonts w:ascii="Times New Roman" w:eastAsia="Times New Roman" w:hAnsi="Times New Roman" w:cs="Times New Roman"/>
          <w:sz w:val="21"/>
          <w:szCs w:val="21"/>
        </w:rPr>
        <w:t>Al Ministero Economia Finanze, in persona del Ministro</w:t>
      </w:r>
      <w:r w:rsidR="0007277D" w:rsidRPr="001F7615">
        <w:rPr>
          <w:rFonts w:ascii="Times New Roman" w:eastAsia="Times New Roman" w:hAnsi="Times New Roman" w:cs="Times New Roman"/>
          <w:sz w:val="21"/>
          <w:szCs w:val="21"/>
        </w:rPr>
        <w:t xml:space="preserve"> p.t.</w:t>
      </w:r>
      <w:r w:rsidRPr="001F7615">
        <w:rPr>
          <w:rFonts w:ascii="Times New Roman" w:eastAsia="Times New Roman" w:hAnsi="Times New Roman" w:cs="Times New Roman"/>
          <w:sz w:val="21"/>
          <w:szCs w:val="21"/>
        </w:rPr>
        <w:t xml:space="preserve">, Via XX Settembre n. 97, </w:t>
      </w:r>
      <w:r w:rsidR="00AA2815" w:rsidRPr="001F7615">
        <w:rPr>
          <w:rFonts w:ascii="Times New Roman" w:eastAsia="Times New Roman" w:hAnsi="Times New Roman" w:cs="Times New Roman"/>
          <w:sz w:val="21"/>
          <w:szCs w:val="21"/>
        </w:rPr>
        <w:t xml:space="preserve">(00187) </w:t>
      </w:r>
      <w:r w:rsidRPr="001F7615">
        <w:rPr>
          <w:rFonts w:ascii="Times New Roman" w:eastAsia="Times New Roman" w:hAnsi="Times New Roman" w:cs="Times New Roman"/>
          <w:sz w:val="21"/>
          <w:szCs w:val="21"/>
        </w:rPr>
        <w:t xml:space="preserve">Roma, </w:t>
      </w:r>
      <w:r w:rsidR="00AA2815" w:rsidRPr="001F7615">
        <w:rPr>
          <w:rFonts w:ascii="Times New Roman" w:eastAsia="Times New Roman" w:hAnsi="Times New Roman" w:cs="Times New Roman"/>
          <w:sz w:val="21"/>
          <w:szCs w:val="21"/>
        </w:rPr>
        <w:t xml:space="preserve">pec: </w:t>
      </w:r>
      <w:hyperlink r:id="rId10" w:history="1">
        <w:r w:rsidR="00AA2815" w:rsidRPr="001F7615">
          <w:rPr>
            <w:rStyle w:val="Collegamentoipertestuale"/>
            <w:rFonts w:ascii="Times New Roman" w:eastAsia="Times New Roman" w:hAnsi="Times New Roman" w:cs="Times New Roman"/>
            <w:sz w:val="21"/>
            <w:szCs w:val="21"/>
            <w:shd w:val="clear" w:color="auto" w:fill="FFFFFF"/>
          </w:rPr>
          <w:t>mef@pec.mef.gov.it</w:t>
        </w:r>
      </w:hyperlink>
    </w:p>
    <w:p w14:paraId="00000008" w14:textId="75A9D38E" w:rsidR="00877A6C" w:rsidRPr="001F7615" w:rsidRDefault="00904829" w:rsidP="006F7435">
      <w:pPr>
        <w:pStyle w:val="Paragrafoelenco"/>
        <w:numPr>
          <w:ilvl w:val="0"/>
          <w:numId w:val="6"/>
        </w:numPr>
        <w:spacing w:after="120"/>
        <w:contextualSpacing w:val="0"/>
        <w:jc w:val="both"/>
        <w:rPr>
          <w:rFonts w:ascii="Times New Roman" w:eastAsia="Times New Roman" w:hAnsi="Times New Roman" w:cs="Times New Roman"/>
          <w:sz w:val="21"/>
          <w:szCs w:val="21"/>
        </w:rPr>
      </w:pPr>
      <w:r w:rsidRPr="001F7615">
        <w:rPr>
          <w:rFonts w:ascii="Times New Roman" w:eastAsia="Times New Roman" w:hAnsi="Times New Roman" w:cs="Times New Roman"/>
          <w:sz w:val="21"/>
          <w:szCs w:val="21"/>
        </w:rPr>
        <w:t xml:space="preserve">All’Agenzia Entrate e Riscossione, in persona del Direttore p.t., </w:t>
      </w:r>
      <w:r w:rsidR="0007277D" w:rsidRPr="001F7615">
        <w:rPr>
          <w:rFonts w:ascii="Times New Roman" w:eastAsia="Times New Roman" w:hAnsi="Times New Roman" w:cs="Times New Roman"/>
          <w:sz w:val="21"/>
          <w:szCs w:val="21"/>
        </w:rPr>
        <w:t>Via Giuseppe</w:t>
      </w:r>
      <w:r w:rsidRPr="001F7615">
        <w:rPr>
          <w:rFonts w:ascii="Times New Roman" w:eastAsia="Times New Roman" w:hAnsi="Times New Roman" w:cs="Times New Roman"/>
          <w:sz w:val="21"/>
          <w:szCs w:val="21"/>
        </w:rPr>
        <w:t xml:space="preserve"> Grezar n. 14, </w:t>
      </w:r>
      <w:r w:rsidR="00AA2815" w:rsidRPr="001F7615">
        <w:rPr>
          <w:rFonts w:ascii="Times New Roman" w:eastAsia="Times New Roman" w:hAnsi="Times New Roman" w:cs="Times New Roman"/>
          <w:sz w:val="21"/>
          <w:szCs w:val="21"/>
        </w:rPr>
        <w:t>(00142)</w:t>
      </w:r>
      <w:r w:rsidR="00406F6D">
        <w:rPr>
          <w:rFonts w:ascii="Times New Roman" w:eastAsia="Times New Roman" w:hAnsi="Times New Roman" w:cs="Times New Roman"/>
          <w:sz w:val="21"/>
          <w:szCs w:val="21"/>
        </w:rPr>
        <w:t xml:space="preserve"> </w:t>
      </w:r>
      <w:r w:rsidRPr="001F7615">
        <w:rPr>
          <w:rFonts w:ascii="Times New Roman" w:eastAsia="Times New Roman" w:hAnsi="Times New Roman" w:cs="Times New Roman"/>
          <w:sz w:val="21"/>
          <w:szCs w:val="21"/>
        </w:rPr>
        <w:t xml:space="preserve">Roma </w:t>
      </w:r>
      <w:r w:rsidR="00412E7D" w:rsidRPr="001F7615">
        <w:rPr>
          <w:rFonts w:ascii="Times New Roman" w:eastAsia="Times New Roman" w:hAnsi="Times New Roman" w:cs="Times New Roman"/>
          <w:sz w:val="21"/>
          <w:szCs w:val="21"/>
        </w:rPr>
        <w:t xml:space="preserve">pec: </w:t>
      </w:r>
      <w:hyperlink r:id="rId11" w:history="1">
        <w:r w:rsidR="00AA2815" w:rsidRPr="001F7615">
          <w:rPr>
            <w:rStyle w:val="Collegamentoipertestuale"/>
            <w:rFonts w:ascii="Times New Roman" w:eastAsia="Times New Roman" w:hAnsi="Times New Roman" w:cs="Times New Roman"/>
            <w:sz w:val="21"/>
            <w:szCs w:val="21"/>
            <w:shd w:val="clear" w:color="auto" w:fill="FFFFFF"/>
          </w:rPr>
          <w:t>protocollo@pec.agenziariscossione.gov.it</w:t>
        </w:r>
      </w:hyperlink>
      <w:r w:rsidR="00AA2815" w:rsidRPr="001F7615">
        <w:rPr>
          <w:rFonts w:ascii="Times New Roman" w:eastAsia="Times New Roman" w:hAnsi="Times New Roman" w:cs="Times New Roman"/>
          <w:sz w:val="21"/>
          <w:szCs w:val="21"/>
          <w:shd w:val="clear" w:color="auto" w:fill="FFFFFF"/>
        </w:rPr>
        <w:t xml:space="preserve"> </w:t>
      </w:r>
    </w:p>
    <w:p w14:paraId="00000009" w14:textId="77777777" w:rsidR="00877A6C" w:rsidRPr="001F7615" w:rsidRDefault="00904829" w:rsidP="006F7435">
      <w:pPr>
        <w:widowControl w:val="0"/>
        <w:spacing w:after="120"/>
        <w:jc w:val="right"/>
        <w:rPr>
          <w:sz w:val="21"/>
          <w:szCs w:val="21"/>
        </w:rPr>
      </w:pPr>
      <w:r w:rsidRPr="001F7615">
        <w:rPr>
          <w:sz w:val="21"/>
          <w:szCs w:val="21"/>
        </w:rPr>
        <w:t xml:space="preserve">E per quanto di valore </w:t>
      </w:r>
    </w:p>
    <w:p w14:paraId="0000000B" w14:textId="67ACE575" w:rsidR="00877A6C" w:rsidRPr="001F7615" w:rsidRDefault="00904829" w:rsidP="006F7435">
      <w:pPr>
        <w:pStyle w:val="Paragrafoelenco"/>
        <w:numPr>
          <w:ilvl w:val="0"/>
          <w:numId w:val="11"/>
        </w:numPr>
        <w:spacing w:after="120"/>
        <w:contextualSpacing w:val="0"/>
        <w:jc w:val="both"/>
        <w:rPr>
          <w:rFonts w:ascii="Times New Roman" w:hAnsi="Times New Roman" w:cs="Times New Roman"/>
          <w:sz w:val="21"/>
          <w:szCs w:val="21"/>
        </w:rPr>
      </w:pPr>
      <w:r w:rsidRPr="001F7615">
        <w:rPr>
          <w:rFonts w:ascii="Times New Roman" w:hAnsi="Times New Roman" w:cs="Times New Roman"/>
          <w:sz w:val="21"/>
          <w:szCs w:val="21"/>
        </w:rPr>
        <w:t>Al Ministero delle Politiche Agricole e Forestali, in persona del Ministro</w:t>
      </w:r>
      <w:r w:rsidR="0007277D" w:rsidRPr="001F7615">
        <w:rPr>
          <w:rFonts w:ascii="Times New Roman" w:hAnsi="Times New Roman" w:cs="Times New Roman"/>
          <w:sz w:val="21"/>
          <w:szCs w:val="21"/>
        </w:rPr>
        <w:t xml:space="preserve"> p.t.</w:t>
      </w:r>
      <w:r w:rsidRPr="001F7615">
        <w:rPr>
          <w:rFonts w:ascii="Times New Roman" w:hAnsi="Times New Roman" w:cs="Times New Roman"/>
          <w:sz w:val="21"/>
          <w:szCs w:val="21"/>
        </w:rPr>
        <w:t xml:space="preserve">, Via XX Settembre n. 20, </w:t>
      </w:r>
      <w:r w:rsidR="00AA2815" w:rsidRPr="001F7615">
        <w:rPr>
          <w:rFonts w:ascii="Times New Roman" w:hAnsi="Times New Roman" w:cs="Times New Roman"/>
          <w:sz w:val="21"/>
          <w:szCs w:val="21"/>
        </w:rPr>
        <w:t>(</w:t>
      </w:r>
      <w:proofErr w:type="gramStart"/>
      <w:r w:rsidR="00AA2815" w:rsidRPr="001F7615">
        <w:rPr>
          <w:rFonts w:ascii="Times New Roman" w:hAnsi="Times New Roman" w:cs="Times New Roman"/>
          <w:sz w:val="21"/>
          <w:szCs w:val="21"/>
        </w:rPr>
        <w:t>00187)b</w:t>
      </w:r>
      <w:proofErr w:type="gramEnd"/>
      <w:r w:rsidR="00AA2815" w:rsidRPr="001F7615">
        <w:rPr>
          <w:rFonts w:ascii="Times New Roman" w:hAnsi="Times New Roman" w:cs="Times New Roman"/>
          <w:sz w:val="21"/>
          <w:szCs w:val="21"/>
        </w:rPr>
        <w:t xml:space="preserve"> </w:t>
      </w:r>
      <w:r w:rsidRPr="001F7615">
        <w:rPr>
          <w:rFonts w:ascii="Times New Roman" w:hAnsi="Times New Roman" w:cs="Times New Roman"/>
          <w:sz w:val="21"/>
          <w:szCs w:val="21"/>
        </w:rPr>
        <w:t xml:space="preserve">Roma </w:t>
      </w:r>
      <w:r w:rsidR="00AA2815" w:rsidRPr="001F7615">
        <w:rPr>
          <w:rFonts w:ascii="Times New Roman" w:hAnsi="Times New Roman" w:cs="Times New Roman"/>
          <w:sz w:val="21"/>
          <w:szCs w:val="21"/>
        </w:rPr>
        <w:t xml:space="preserve"> pec: </w:t>
      </w:r>
      <w:hyperlink r:id="rId12" w:history="1">
        <w:r w:rsidR="00AA2815" w:rsidRPr="001F7615">
          <w:rPr>
            <w:rStyle w:val="Collegamentoipertestuale"/>
            <w:rFonts w:ascii="Times New Roman" w:hAnsi="Times New Roman" w:cs="Times New Roman"/>
            <w:sz w:val="21"/>
            <w:szCs w:val="21"/>
            <w:shd w:val="clear" w:color="auto" w:fill="FFFFFF"/>
          </w:rPr>
          <w:t>ministro@pec.politicheagricole.gov.it</w:t>
        </w:r>
      </w:hyperlink>
      <w:r w:rsidR="00AA2815" w:rsidRPr="001F7615">
        <w:rPr>
          <w:rFonts w:ascii="Times New Roman" w:hAnsi="Times New Roman" w:cs="Times New Roman"/>
          <w:sz w:val="21"/>
          <w:szCs w:val="21"/>
          <w:shd w:val="clear" w:color="auto" w:fill="FFFFFF"/>
        </w:rPr>
        <w:t xml:space="preserve"> </w:t>
      </w:r>
    </w:p>
    <w:p w14:paraId="0000000C" w14:textId="55D49B9E" w:rsidR="00877A6C" w:rsidRPr="001F7615" w:rsidRDefault="00904829" w:rsidP="006F7435">
      <w:pPr>
        <w:widowControl w:val="0"/>
        <w:spacing w:after="120"/>
        <w:ind w:left="450" w:hanging="450"/>
        <w:jc w:val="center"/>
        <w:rPr>
          <w:b/>
          <w:bCs/>
          <w:sz w:val="21"/>
          <w:szCs w:val="21"/>
        </w:rPr>
      </w:pPr>
      <w:r w:rsidRPr="001F7615">
        <w:rPr>
          <w:b/>
          <w:bCs/>
          <w:sz w:val="21"/>
          <w:szCs w:val="21"/>
        </w:rPr>
        <w:t>PREMESSO CHE</w:t>
      </w:r>
    </w:p>
    <w:p w14:paraId="0000000D" w14:textId="0115068F" w:rsidR="00877A6C" w:rsidRPr="001F7615" w:rsidRDefault="00904829" w:rsidP="006F7435">
      <w:pPr>
        <w:widowControl w:val="0"/>
        <w:numPr>
          <w:ilvl w:val="0"/>
          <w:numId w:val="4"/>
        </w:numPr>
        <w:pBdr>
          <w:top w:val="nil"/>
          <w:left w:val="nil"/>
          <w:bottom w:val="nil"/>
          <w:right w:val="nil"/>
          <w:between w:val="nil"/>
        </w:pBdr>
        <w:spacing w:after="120"/>
        <w:ind w:left="450" w:hanging="450"/>
        <w:jc w:val="both"/>
        <w:rPr>
          <w:color w:val="000000"/>
          <w:sz w:val="21"/>
          <w:szCs w:val="21"/>
        </w:rPr>
      </w:pPr>
      <w:r w:rsidRPr="001F7615">
        <w:rPr>
          <w:color w:val="000000"/>
          <w:sz w:val="21"/>
          <w:szCs w:val="21"/>
        </w:rPr>
        <w:t>l’esponente è titolare della concessione n</w:t>
      </w:r>
      <w:r w:rsidR="0007277D" w:rsidRPr="001F7615">
        <w:rPr>
          <w:color w:val="000000"/>
          <w:sz w:val="21"/>
          <w:szCs w:val="21"/>
        </w:rPr>
        <w:t>.</w:t>
      </w:r>
      <w:r w:rsidR="0007277D" w:rsidRPr="001F7615">
        <w:rPr>
          <w:sz w:val="21"/>
          <w:szCs w:val="21"/>
        </w:rPr>
        <w:t xml:space="preserve"> </w:t>
      </w:r>
      <w:r w:rsidR="0007277D" w:rsidRPr="001F7615">
        <w:rPr>
          <w:sz w:val="21"/>
          <w:szCs w:val="21"/>
          <w:highlight w:val="yellow"/>
        </w:rPr>
        <w:t>&lt;_&gt;</w:t>
      </w:r>
      <w:r w:rsidR="0007277D" w:rsidRPr="001F7615">
        <w:rPr>
          <w:sz w:val="21"/>
          <w:szCs w:val="21"/>
        </w:rPr>
        <w:t xml:space="preserve"> </w:t>
      </w:r>
      <w:r w:rsidRPr="001F7615">
        <w:rPr>
          <w:color w:val="000000"/>
          <w:sz w:val="21"/>
          <w:szCs w:val="21"/>
        </w:rPr>
        <w:t xml:space="preserve">per la raccolta del gioco pubblico terrestre/on line </w:t>
      </w:r>
      <w:r w:rsidRPr="001F7615">
        <w:rPr>
          <w:i/>
          <w:iCs/>
          <w:color w:val="000000"/>
          <w:sz w:val="21"/>
          <w:szCs w:val="21"/>
        </w:rPr>
        <w:t>(oppure delle concessioni n</w:t>
      </w:r>
      <w:r w:rsidR="0007277D" w:rsidRPr="001F7615">
        <w:rPr>
          <w:i/>
          <w:iCs/>
          <w:color w:val="000000"/>
          <w:sz w:val="21"/>
          <w:szCs w:val="21"/>
        </w:rPr>
        <w:t xml:space="preserve">. </w:t>
      </w:r>
      <w:r w:rsidR="0007277D" w:rsidRPr="001F7615">
        <w:rPr>
          <w:i/>
          <w:iCs/>
          <w:sz w:val="21"/>
          <w:szCs w:val="21"/>
        </w:rPr>
        <w:t xml:space="preserve"> </w:t>
      </w:r>
      <w:r w:rsidR="0007277D" w:rsidRPr="001F7615">
        <w:rPr>
          <w:i/>
          <w:iCs/>
          <w:sz w:val="21"/>
          <w:szCs w:val="21"/>
          <w:highlight w:val="yellow"/>
        </w:rPr>
        <w:t>&lt;_&gt;</w:t>
      </w:r>
      <w:r w:rsidRPr="001F7615">
        <w:rPr>
          <w:i/>
          <w:iCs/>
          <w:color w:val="000000"/>
          <w:sz w:val="21"/>
          <w:szCs w:val="21"/>
        </w:rPr>
        <w:t>, per la raccolta del gioco pubblico terrestre ed on line)</w:t>
      </w:r>
      <w:r w:rsidRPr="001F7615">
        <w:rPr>
          <w:color w:val="000000"/>
          <w:sz w:val="21"/>
          <w:szCs w:val="21"/>
        </w:rPr>
        <w:t>;</w:t>
      </w:r>
    </w:p>
    <w:p w14:paraId="0000000E" w14:textId="5F6A4501" w:rsidR="00877A6C" w:rsidRPr="001F7615" w:rsidRDefault="00904829" w:rsidP="006F7435">
      <w:pPr>
        <w:widowControl w:val="0"/>
        <w:numPr>
          <w:ilvl w:val="0"/>
          <w:numId w:val="4"/>
        </w:numPr>
        <w:pBdr>
          <w:top w:val="nil"/>
          <w:left w:val="nil"/>
          <w:bottom w:val="nil"/>
          <w:right w:val="nil"/>
          <w:between w:val="nil"/>
        </w:pBdr>
        <w:spacing w:after="120"/>
        <w:ind w:left="450" w:hanging="450"/>
        <w:jc w:val="both"/>
        <w:rPr>
          <w:color w:val="000000"/>
          <w:sz w:val="21"/>
          <w:szCs w:val="21"/>
        </w:rPr>
      </w:pPr>
      <w:r w:rsidRPr="001F7615">
        <w:rPr>
          <w:b/>
          <w:bCs/>
          <w:color w:val="000000"/>
          <w:sz w:val="21"/>
          <w:szCs w:val="21"/>
        </w:rPr>
        <w:t xml:space="preserve">l’articolo 217 del </w:t>
      </w:r>
      <w:r w:rsidR="0007277D" w:rsidRPr="001F7615">
        <w:rPr>
          <w:b/>
          <w:bCs/>
          <w:color w:val="000000"/>
          <w:sz w:val="21"/>
          <w:szCs w:val="21"/>
        </w:rPr>
        <w:t>Decreto-legge</w:t>
      </w:r>
      <w:r w:rsidRPr="001F7615">
        <w:rPr>
          <w:b/>
          <w:bCs/>
          <w:color w:val="000000"/>
          <w:sz w:val="21"/>
          <w:szCs w:val="21"/>
        </w:rPr>
        <w:t xml:space="preserve"> 19 maggio 2020 n. 34</w:t>
      </w:r>
      <w:r w:rsidRPr="001F7615">
        <w:rPr>
          <w:sz w:val="21"/>
          <w:szCs w:val="21"/>
          <w:vertAlign w:val="superscript"/>
        </w:rPr>
        <w:footnoteReference w:id="2"/>
      </w:r>
      <w:r w:rsidRPr="001F7615">
        <w:rPr>
          <w:color w:val="000000"/>
          <w:sz w:val="21"/>
          <w:szCs w:val="21"/>
        </w:rPr>
        <w:t xml:space="preserve">, convertito con modificazioni ed integrazioni con Legge 17 luglio 2020 n. 77, ha istituito il “Fondo per il rilancio del sistema sportivo nazionale”. Le risorse per finanziare detto Fondo, a far data dal 19 maggio 2020 (data di entrata in vigore del menzionato Decreto) e sino al 31 dicembre 2021, sono state individuate dal Legislatore in una quota </w:t>
      </w:r>
      <w:r w:rsidRPr="001F7615">
        <w:rPr>
          <w:sz w:val="21"/>
          <w:szCs w:val="21"/>
        </w:rPr>
        <w:t xml:space="preserve">(di seguito anche </w:t>
      </w:r>
      <w:r w:rsidRPr="001F7615">
        <w:rPr>
          <w:b/>
          <w:bCs/>
          <w:sz w:val="21"/>
          <w:szCs w:val="21"/>
        </w:rPr>
        <w:t>onere aggiuntivo</w:t>
      </w:r>
      <w:r w:rsidRPr="001F7615">
        <w:rPr>
          <w:sz w:val="21"/>
          <w:szCs w:val="21"/>
        </w:rPr>
        <w:t xml:space="preserve">) </w:t>
      </w:r>
      <w:r w:rsidRPr="001F7615">
        <w:rPr>
          <w:color w:val="000000"/>
          <w:sz w:val="21"/>
          <w:szCs w:val="21"/>
        </w:rPr>
        <w:t>pari allo 0,5 per cento del totale della raccolta delle scommesse relative a eventi sportivi di ogni genere, anche in formato virtuale, raccolte sia sulla rete terrestre che on line;</w:t>
      </w:r>
    </w:p>
    <w:p w14:paraId="0000000F" w14:textId="7F798634" w:rsidR="00877A6C" w:rsidRPr="001F7615" w:rsidRDefault="00904829" w:rsidP="006F7435">
      <w:pPr>
        <w:widowControl w:val="0"/>
        <w:numPr>
          <w:ilvl w:val="0"/>
          <w:numId w:val="4"/>
        </w:numPr>
        <w:pBdr>
          <w:top w:val="nil"/>
          <w:left w:val="nil"/>
          <w:bottom w:val="nil"/>
          <w:right w:val="nil"/>
          <w:between w:val="nil"/>
        </w:pBdr>
        <w:spacing w:after="120"/>
        <w:ind w:left="450" w:hanging="450"/>
        <w:jc w:val="both"/>
        <w:rPr>
          <w:color w:val="000000"/>
          <w:sz w:val="21"/>
          <w:szCs w:val="21"/>
        </w:rPr>
      </w:pPr>
      <w:r w:rsidRPr="001F7615">
        <w:rPr>
          <w:color w:val="000000"/>
          <w:sz w:val="21"/>
          <w:szCs w:val="21"/>
        </w:rPr>
        <w:t xml:space="preserve">che nella </w:t>
      </w:r>
      <w:r w:rsidRPr="001F7615">
        <w:rPr>
          <w:b/>
          <w:bCs/>
          <w:color w:val="000000"/>
          <w:sz w:val="21"/>
          <w:szCs w:val="21"/>
        </w:rPr>
        <w:t>relazione tecnica</w:t>
      </w:r>
      <w:r w:rsidRPr="001F7615">
        <w:rPr>
          <w:color w:val="000000"/>
          <w:sz w:val="21"/>
          <w:szCs w:val="21"/>
        </w:rPr>
        <w:t xml:space="preserve"> che accompagna il menzionato decreto si legge riguardo la portata dell’art. 217 che: </w:t>
      </w:r>
      <w:r w:rsidRPr="001F7615">
        <w:rPr>
          <w:sz w:val="21"/>
          <w:szCs w:val="21"/>
        </w:rPr>
        <w:t>“</w:t>
      </w:r>
      <w:r w:rsidRPr="001F7615">
        <w:rPr>
          <w:i/>
          <w:color w:val="000000"/>
          <w:sz w:val="21"/>
          <w:szCs w:val="21"/>
        </w:rPr>
        <w:t>per far fronte alla crisi economica dei soggetti operanti nel settore sportivo, la norma prevede che una quota della raccolta delle scommesse sportive viene destinata sino al 31 luglio 2021 al “Fondo per il rilancio del sistema sportivo nazionale” da istituire</w:t>
      </w:r>
      <w:r w:rsidRPr="001F7615">
        <w:rPr>
          <w:color w:val="000000"/>
          <w:sz w:val="21"/>
          <w:szCs w:val="21"/>
        </w:rPr>
        <w:t xml:space="preserve"> </w:t>
      </w:r>
      <w:r w:rsidRPr="001F7615">
        <w:rPr>
          <w:i/>
          <w:color w:val="000000"/>
          <w:sz w:val="21"/>
          <w:szCs w:val="21"/>
        </w:rPr>
        <w:t>nello stato di previsione del Ministero</w:t>
      </w:r>
      <w:r w:rsidRPr="001F7615">
        <w:rPr>
          <w:color w:val="000000"/>
          <w:sz w:val="21"/>
          <w:szCs w:val="21"/>
        </w:rPr>
        <w:t>”, ed ancora “</w:t>
      </w:r>
      <w:r w:rsidRPr="001F7615">
        <w:rPr>
          <w:i/>
          <w:color w:val="000000"/>
          <w:sz w:val="21"/>
          <w:szCs w:val="21"/>
        </w:rPr>
        <w:t>per gli anni 2020 e 2021, il livello di finanziamento del Fondo di cui al comma 1 è stabilito nella misura annua dello 0,5 per cento sul totale della raccolta da scommesse relative a eventi sportivi di ogni genere, anche in formato virtuale, effettuata in qualsiasi modo e su qualsiasi mezzo, sia on-line, sia tramite canali tradizionali, come determinata periodicamente dall’ente incaricato dello Stato</w:t>
      </w:r>
      <w:r w:rsidRPr="001F7615">
        <w:rPr>
          <w:color w:val="000000"/>
          <w:sz w:val="21"/>
          <w:szCs w:val="21"/>
        </w:rPr>
        <w:t xml:space="preserve">” . Vengono quindi ben individuate le categorie di raccolta delle scommesse alle quali si applica l’onere aggiuntivo: </w:t>
      </w:r>
      <w:r w:rsidRPr="001F7615">
        <w:rPr>
          <w:color w:val="000000"/>
          <w:sz w:val="21"/>
          <w:szCs w:val="21"/>
          <w:u w:val="single"/>
        </w:rPr>
        <w:t>la raccolta delle scommesse sportive e virtuali</w:t>
      </w:r>
      <w:r w:rsidR="00FC6ECC" w:rsidRPr="001F7615">
        <w:rPr>
          <w:color w:val="000000"/>
          <w:sz w:val="21"/>
          <w:szCs w:val="21"/>
        </w:rPr>
        <w:t>.</w:t>
      </w:r>
      <w:r w:rsidRPr="001F7615">
        <w:rPr>
          <w:color w:val="000000"/>
          <w:sz w:val="21"/>
          <w:szCs w:val="21"/>
        </w:rPr>
        <w:t xml:space="preserve"> </w:t>
      </w:r>
      <w:r w:rsidR="00FC6ECC" w:rsidRPr="001F7615">
        <w:rPr>
          <w:color w:val="000000"/>
          <w:sz w:val="21"/>
          <w:szCs w:val="21"/>
        </w:rPr>
        <w:t>D</w:t>
      </w:r>
      <w:r w:rsidRPr="001F7615">
        <w:rPr>
          <w:color w:val="000000"/>
          <w:sz w:val="21"/>
          <w:szCs w:val="21"/>
        </w:rPr>
        <w:t>i contro non vengono contemplate tutte le scommesse connesse alle corse dei cavalli e le scommesse a distanza a quota fissa con interazione diretta fra i giocatori,</w:t>
      </w:r>
    </w:p>
    <w:p w14:paraId="00000010" w14:textId="2C7F1052" w:rsidR="00877A6C" w:rsidRPr="001F7615" w:rsidRDefault="00904829" w:rsidP="006F7435">
      <w:pPr>
        <w:widowControl w:val="0"/>
        <w:numPr>
          <w:ilvl w:val="0"/>
          <w:numId w:val="4"/>
        </w:numPr>
        <w:pBdr>
          <w:top w:val="nil"/>
          <w:left w:val="nil"/>
          <w:bottom w:val="nil"/>
          <w:right w:val="nil"/>
          <w:between w:val="nil"/>
        </w:pBdr>
        <w:spacing w:after="120"/>
        <w:ind w:left="450" w:hanging="450"/>
        <w:jc w:val="both"/>
        <w:rPr>
          <w:color w:val="000000"/>
          <w:sz w:val="21"/>
          <w:szCs w:val="21"/>
        </w:rPr>
      </w:pPr>
      <w:r w:rsidRPr="001F7615">
        <w:rPr>
          <w:color w:val="000000"/>
          <w:sz w:val="21"/>
          <w:szCs w:val="21"/>
        </w:rPr>
        <w:t xml:space="preserve">che con </w:t>
      </w:r>
      <w:r w:rsidRPr="001F7615">
        <w:rPr>
          <w:b/>
          <w:bCs/>
          <w:color w:val="000000"/>
          <w:sz w:val="21"/>
          <w:szCs w:val="21"/>
        </w:rPr>
        <w:t xml:space="preserve">Determinazione Direttoriale, recante </w:t>
      </w:r>
      <w:r w:rsidR="0007277D" w:rsidRPr="001F7615">
        <w:rPr>
          <w:b/>
          <w:bCs/>
          <w:color w:val="000000"/>
          <w:sz w:val="21"/>
          <w:szCs w:val="21"/>
        </w:rPr>
        <w:t>Prot</w:t>
      </w:r>
      <w:r w:rsidRPr="001F7615">
        <w:rPr>
          <w:b/>
          <w:bCs/>
          <w:color w:val="000000"/>
          <w:sz w:val="21"/>
          <w:szCs w:val="21"/>
        </w:rPr>
        <w:t>. n. 307276, dell’8 settembre</w:t>
      </w:r>
      <w:r w:rsidRPr="001F7615">
        <w:rPr>
          <w:color w:val="000000"/>
          <w:sz w:val="21"/>
          <w:szCs w:val="21"/>
        </w:rPr>
        <w:t xml:space="preserve"> 2020 l’Agenzia Dogane e Monopoli, di seguito per brevità ADM, ha specificato che tale onere aggiuntivo viene applicato alle tipologie di gioco</w:t>
      </w:r>
      <w:r w:rsidRPr="001F7615">
        <w:rPr>
          <w:sz w:val="21"/>
          <w:szCs w:val="21"/>
        </w:rPr>
        <w:t xml:space="preserve"> raccolto </w:t>
      </w:r>
      <w:r w:rsidRPr="001F7615">
        <w:rPr>
          <w:color w:val="000000"/>
          <w:sz w:val="21"/>
          <w:szCs w:val="21"/>
        </w:rPr>
        <w:t xml:space="preserve">con il canale terrestre o on line, e nello specifico: </w:t>
      </w:r>
    </w:p>
    <w:p w14:paraId="00000011" w14:textId="77777777" w:rsidR="00877A6C" w:rsidRPr="001F7615" w:rsidRDefault="00904829" w:rsidP="00782947">
      <w:pPr>
        <w:widowControl w:val="0"/>
        <w:ind w:left="896" w:hanging="448"/>
        <w:jc w:val="both"/>
        <w:rPr>
          <w:sz w:val="21"/>
          <w:szCs w:val="21"/>
        </w:rPr>
      </w:pPr>
      <w:r w:rsidRPr="001F7615">
        <w:rPr>
          <w:sz w:val="21"/>
          <w:szCs w:val="21"/>
        </w:rPr>
        <w:t>1.</w:t>
      </w:r>
      <w:r w:rsidRPr="001F7615">
        <w:rPr>
          <w:sz w:val="21"/>
          <w:szCs w:val="21"/>
        </w:rPr>
        <w:tab/>
        <w:t xml:space="preserve">scommesse sportive a quota fissa; </w:t>
      </w:r>
    </w:p>
    <w:p w14:paraId="00000012" w14:textId="77777777" w:rsidR="00877A6C" w:rsidRPr="001F7615" w:rsidRDefault="00904829" w:rsidP="00782947">
      <w:pPr>
        <w:widowControl w:val="0"/>
        <w:ind w:left="896" w:hanging="448"/>
        <w:jc w:val="both"/>
        <w:rPr>
          <w:sz w:val="21"/>
          <w:szCs w:val="21"/>
        </w:rPr>
      </w:pPr>
      <w:r w:rsidRPr="001F7615">
        <w:rPr>
          <w:sz w:val="21"/>
          <w:szCs w:val="21"/>
        </w:rPr>
        <w:t>2.</w:t>
      </w:r>
      <w:r w:rsidRPr="001F7615">
        <w:rPr>
          <w:sz w:val="21"/>
          <w:szCs w:val="21"/>
        </w:rPr>
        <w:tab/>
        <w:t xml:space="preserve">scommesse a quota fissa su simulazioni di eventi; </w:t>
      </w:r>
    </w:p>
    <w:p w14:paraId="00000013" w14:textId="77777777" w:rsidR="00877A6C" w:rsidRPr="001F7615" w:rsidRDefault="00904829" w:rsidP="00782947">
      <w:pPr>
        <w:widowControl w:val="0"/>
        <w:ind w:left="896" w:hanging="448"/>
        <w:jc w:val="both"/>
        <w:rPr>
          <w:sz w:val="21"/>
          <w:szCs w:val="21"/>
        </w:rPr>
      </w:pPr>
      <w:r w:rsidRPr="001F7615">
        <w:rPr>
          <w:sz w:val="21"/>
          <w:szCs w:val="21"/>
        </w:rPr>
        <w:t>3.</w:t>
      </w:r>
      <w:r w:rsidRPr="001F7615">
        <w:rPr>
          <w:sz w:val="21"/>
          <w:szCs w:val="21"/>
        </w:rPr>
        <w:tab/>
        <w:t xml:space="preserve">concorsi pronostici ippici; </w:t>
      </w:r>
    </w:p>
    <w:p w14:paraId="00000014" w14:textId="77777777" w:rsidR="00877A6C" w:rsidRPr="001F7615" w:rsidRDefault="00904829" w:rsidP="00782947">
      <w:pPr>
        <w:widowControl w:val="0"/>
        <w:ind w:left="896" w:hanging="448"/>
        <w:jc w:val="both"/>
        <w:rPr>
          <w:sz w:val="21"/>
          <w:szCs w:val="21"/>
        </w:rPr>
      </w:pPr>
      <w:r w:rsidRPr="001F7615">
        <w:rPr>
          <w:sz w:val="21"/>
          <w:szCs w:val="21"/>
        </w:rPr>
        <w:lastRenderedPageBreak/>
        <w:t>4.</w:t>
      </w:r>
      <w:r w:rsidRPr="001F7615">
        <w:rPr>
          <w:sz w:val="21"/>
          <w:szCs w:val="21"/>
        </w:rPr>
        <w:tab/>
        <w:t xml:space="preserve">scommesse di ippica nazionale; </w:t>
      </w:r>
    </w:p>
    <w:p w14:paraId="00000015" w14:textId="77777777" w:rsidR="00877A6C" w:rsidRPr="001F7615" w:rsidRDefault="00904829" w:rsidP="00782947">
      <w:pPr>
        <w:widowControl w:val="0"/>
        <w:ind w:left="896" w:hanging="448"/>
        <w:jc w:val="both"/>
        <w:rPr>
          <w:sz w:val="21"/>
          <w:szCs w:val="21"/>
        </w:rPr>
      </w:pPr>
      <w:r w:rsidRPr="001F7615">
        <w:rPr>
          <w:sz w:val="21"/>
          <w:szCs w:val="21"/>
        </w:rPr>
        <w:t>5.</w:t>
      </w:r>
      <w:r w:rsidRPr="001F7615">
        <w:rPr>
          <w:sz w:val="21"/>
          <w:szCs w:val="21"/>
        </w:rPr>
        <w:tab/>
        <w:t xml:space="preserve">scommesse ippiche a totalizzatore; </w:t>
      </w:r>
    </w:p>
    <w:p w14:paraId="00000016" w14:textId="77777777" w:rsidR="00877A6C" w:rsidRPr="001F7615" w:rsidRDefault="00904829" w:rsidP="00782947">
      <w:pPr>
        <w:widowControl w:val="0"/>
        <w:pBdr>
          <w:top w:val="nil"/>
          <w:left w:val="nil"/>
          <w:bottom w:val="nil"/>
          <w:right w:val="nil"/>
          <w:between w:val="nil"/>
        </w:pBdr>
        <w:ind w:left="896" w:hanging="448"/>
        <w:jc w:val="both"/>
        <w:rPr>
          <w:color w:val="000000"/>
          <w:sz w:val="21"/>
          <w:szCs w:val="21"/>
        </w:rPr>
      </w:pPr>
      <w:r w:rsidRPr="001F7615">
        <w:rPr>
          <w:color w:val="000000"/>
          <w:sz w:val="21"/>
          <w:szCs w:val="21"/>
        </w:rPr>
        <w:t>6.</w:t>
      </w:r>
      <w:r w:rsidRPr="001F7615">
        <w:rPr>
          <w:color w:val="000000"/>
          <w:sz w:val="21"/>
          <w:szCs w:val="21"/>
        </w:rPr>
        <w:tab/>
        <w:t xml:space="preserve">scommesse ippiche a quota fissa e multiple di riferimento; </w:t>
      </w:r>
    </w:p>
    <w:p w14:paraId="00000017" w14:textId="77777777" w:rsidR="00877A6C" w:rsidRPr="001F7615" w:rsidRDefault="00904829" w:rsidP="00782947">
      <w:pPr>
        <w:widowControl w:val="0"/>
        <w:ind w:left="896" w:hanging="448"/>
        <w:jc w:val="both"/>
        <w:rPr>
          <w:sz w:val="21"/>
          <w:szCs w:val="21"/>
        </w:rPr>
      </w:pPr>
      <w:r w:rsidRPr="001F7615">
        <w:rPr>
          <w:sz w:val="21"/>
          <w:szCs w:val="21"/>
        </w:rPr>
        <w:t>7.</w:t>
      </w:r>
      <w:r w:rsidRPr="001F7615">
        <w:rPr>
          <w:sz w:val="21"/>
          <w:szCs w:val="21"/>
        </w:rPr>
        <w:tab/>
        <w:t xml:space="preserve">concorsi pronostici sportivi;  </w:t>
      </w:r>
    </w:p>
    <w:p w14:paraId="00000018" w14:textId="77777777" w:rsidR="00877A6C" w:rsidRPr="001F7615" w:rsidRDefault="00904829" w:rsidP="00782947">
      <w:pPr>
        <w:widowControl w:val="0"/>
        <w:ind w:left="896" w:hanging="448"/>
        <w:jc w:val="both"/>
        <w:rPr>
          <w:sz w:val="21"/>
          <w:szCs w:val="21"/>
        </w:rPr>
      </w:pPr>
      <w:r w:rsidRPr="001F7615">
        <w:rPr>
          <w:sz w:val="21"/>
          <w:szCs w:val="21"/>
        </w:rPr>
        <w:t>8.</w:t>
      </w:r>
      <w:r w:rsidRPr="001F7615">
        <w:rPr>
          <w:sz w:val="21"/>
          <w:szCs w:val="21"/>
        </w:rPr>
        <w:tab/>
        <w:t xml:space="preserve">scommesse sportive a totalizzatore; </w:t>
      </w:r>
    </w:p>
    <w:p w14:paraId="00000019" w14:textId="77777777" w:rsidR="00877A6C" w:rsidRPr="001F7615" w:rsidRDefault="00904829" w:rsidP="006F7435">
      <w:pPr>
        <w:widowControl w:val="0"/>
        <w:spacing w:after="120"/>
        <w:ind w:left="900" w:hanging="450"/>
        <w:jc w:val="both"/>
        <w:rPr>
          <w:sz w:val="21"/>
          <w:szCs w:val="21"/>
        </w:rPr>
      </w:pPr>
      <w:r w:rsidRPr="001F7615">
        <w:rPr>
          <w:sz w:val="21"/>
          <w:szCs w:val="21"/>
        </w:rPr>
        <w:t>9.</w:t>
      </w:r>
      <w:r w:rsidRPr="001F7615">
        <w:rPr>
          <w:sz w:val="21"/>
          <w:szCs w:val="21"/>
        </w:rPr>
        <w:tab/>
        <w:t>scommesse a distanza a quota fissa con interazione diretta fra i giocatori;</w:t>
      </w:r>
    </w:p>
    <w:p w14:paraId="0000001A" w14:textId="690810B8" w:rsidR="00877A6C" w:rsidRPr="001F7615" w:rsidRDefault="00FC6ECC" w:rsidP="006F7435">
      <w:pPr>
        <w:widowControl w:val="0"/>
        <w:spacing w:after="120"/>
        <w:ind w:left="450" w:hanging="450"/>
        <w:jc w:val="both"/>
        <w:rPr>
          <w:sz w:val="21"/>
          <w:szCs w:val="21"/>
        </w:rPr>
      </w:pPr>
      <w:r w:rsidRPr="001F7615">
        <w:rPr>
          <w:sz w:val="21"/>
          <w:szCs w:val="21"/>
        </w:rPr>
        <w:t>e</w:t>
      </w:r>
      <w:r w:rsidR="00904829" w:rsidRPr="001F7615">
        <w:rPr>
          <w:sz w:val="21"/>
          <w:szCs w:val="21"/>
        </w:rPr>
        <w:t>)</w:t>
      </w:r>
      <w:r w:rsidR="00904829" w:rsidRPr="001F7615">
        <w:rPr>
          <w:sz w:val="21"/>
          <w:szCs w:val="21"/>
        </w:rPr>
        <w:tab/>
        <w:t xml:space="preserve">i versamenti, ai sensi dell’art. 4, comma 2, del menzionato Decreto sono effettuati quadrimestralmente nel rispetto dei seguenti termini: </w:t>
      </w:r>
    </w:p>
    <w:p w14:paraId="69DB8725" w14:textId="77777777" w:rsidR="006F7435" w:rsidRPr="001F7615" w:rsidRDefault="00904829" w:rsidP="00782947">
      <w:pPr>
        <w:widowControl w:val="0"/>
        <w:numPr>
          <w:ilvl w:val="0"/>
          <w:numId w:val="13"/>
        </w:numPr>
        <w:ind w:left="896" w:hanging="448"/>
        <w:jc w:val="both"/>
        <w:rPr>
          <w:sz w:val="21"/>
          <w:szCs w:val="21"/>
        </w:rPr>
      </w:pPr>
      <w:r w:rsidRPr="001F7615">
        <w:rPr>
          <w:sz w:val="21"/>
          <w:szCs w:val="21"/>
        </w:rPr>
        <w:t xml:space="preserve">20 maggio 2020-31 agosto 2020: </w:t>
      </w:r>
      <w:r w:rsidRPr="001F7615">
        <w:rPr>
          <w:b/>
          <w:sz w:val="21"/>
          <w:szCs w:val="21"/>
        </w:rPr>
        <w:t>entro il 30 novembre 2020</w:t>
      </w:r>
      <w:r w:rsidRPr="001F7615">
        <w:rPr>
          <w:sz w:val="21"/>
          <w:szCs w:val="21"/>
        </w:rPr>
        <w:t xml:space="preserve">; </w:t>
      </w:r>
    </w:p>
    <w:p w14:paraId="0A395693" w14:textId="77777777" w:rsidR="006F7435" w:rsidRPr="001F7615" w:rsidRDefault="00904829" w:rsidP="00782947">
      <w:pPr>
        <w:widowControl w:val="0"/>
        <w:numPr>
          <w:ilvl w:val="0"/>
          <w:numId w:val="13"/>
        </w:numPr>
        <w:ind w:left="896" w:hanging="448"/>
        <w:jc w:val="both"/>
        <w:rPr>
          <w:sz w:val="21"/>
          <w:szCs w:val="21"/>
        </w:rPr>
      </w:pPr>
      <w:proofErr w:type="gramStart"/>
      <w:r w:rsidRPr="001F7615">
        <w:rPr>
          <w:sz w:val="21"/>
          <w:szCs w:val="21"/>
        </w:rPr>
        <w:t>1</w:t>
      </w:r>
      <w:r w:rsidR="00FC6ECC" w:rsidRPr="001F7615">
        <w:rPr>
          <w:sz w:val="21"/>
          <w:szCs w:val="21"/>
        </w:rPr>
        <w:t xml:space="preserve"> </w:t>
      </w:r>
      <w:r w:rsidRPr="001F7615">
        <w:rPr>
          <w:sz w:val="21"/>
          <w:szCs w:val="21"/>
        </w:rPr>
        <w:t>settembre</w:t>
      </w:r>
      <w:proofErr w:type="gramEnd"/>
      <w:r w:rsidRPr="001F7615">
        <w:rPr>
          <w:sz w:val="21"/>
          <w:szCs w:val="21"/>
        </w:rPr>
        <w:t xml:space="preserve"> 2020-31 dicembre 2020: </w:t>
      </w:r>
      <w:r w:rsidRPr="001F7615">
        <w:rPr>
          <w:b/>
          <w:sz w:val="21"/>
          <w:szCs w:val="21"/>
        </w:rPr>
        <w:t>entro il 28 febbraio 2021</w:t>
      </w:r>
      <w:r w:rsidRPr="001F7615">
        <w:rPr>
          <w:sz w:val="21"/>
          <w:szCs w:val="21"/>
        </w:rPr>
        <w:t xml:space="preserve">; </w:t>
      </w:r>
    </w:p>
    <w:p w14:paraId="695F9EEE" w14:textId="77777777" w:rsidR="006F7435" w:rsidRPr="001F7615" w:rsidRDefault="00904829" w:rsidP="00782947">
      <w:pPr>
        <w:widowControl w:val="0"/>
        <w:numPr>
          <w:ilvl w:val="0"/>
          <w:numId w:val="13"/>
        </w:numPr>
        <w:ind w:left="896" w:hanging="448"/>
        <w:jc w:val="both"/>
        <w:rPr>
          <w:sz w:val="21"/>
          <w:szCs w:val="21"/>
        </w:rPr>
      </w:pPr>
      <w:r w:rsidRPr="001F7615">
        <w:rPr>
          <w:sz w:val="21"/>
          <w:szCs w:val="21"/>
        </w:rPr>
        <w:t xml:space="preserve">gennaio 2021-30 aprile 2021: </w:t>
      </w:r>
      <w:r w:rsidRPr="001F7615">
        <w:rPr>
          <w:b/>
          <w:sz w:val="21"/>
          <w:szCs w:val="21"/>
        </w:rPr>
        <w:t>entro il 31 agosto 2021</w:t>
      </w:r>
      <w:r w:rsidRPr="001F7615">
        <w:rPr>
          <w:sz w:val="21"/>
          <w:szCs w:val="21"/>
        </w:rPr>
        <w:t xml:space="preserve">; </w:t>
      </w:r>
    </w:p>
    <w:p w14:paraId="106F0992" w14:textId="77777777" w:rsidR="006F7435" w:rsidRPr="001F7615" w:rsidRDefault="00904829" w:rsidP="00782947">
      <w:pPr>
        <w:widowControl w:val="0"/>
        <w:numPr>
          <w:ilvl w:val="0"/>
          <w:numId w:val="13"/>
        </w:numPr>
        <w:ind w:left="896" w:hanging="448"/>
        <w:jc w:val="both"/>
        <w:rPr>
          <w:sz w:val="21"/>
          <w:szCs w:val="21"/>
        </w:rPr>
      </w:pPr>
      <w:proofErr w:type="gramStart"/>
      <w:r w:rsidRPr="001F7615">
        <w:rPr>
          <w:color w:val="000000"/>
          <w:sz w:val="21"/>
          <w:szCs w:val="21"/>
        </w:rPr>
        <w:t>1 maggio</w:t>
      </w:r>
      <w:proofErr w:type="gramEnd"/>
      <w:r w:rsidRPr="001F7615">
        <w:rPr>
          <w:color w:val="000000"/>
          <w:sz w:val="21"/>
          <w:szCs w:val="21"/>
        </w:rPr>
        <w:t xml:space="preserve"> 2021-31 agosto 2021: </w:t>
      </w:r>
      <w:r w:rsidRPr="001F7615">
        <w:rPr>
          <w:b/>
          <w:color w:val="000000"/>
          <w:sz w:val="21"/>
          <w:szCs w:val="21"/>
        </w:rPr>
        <w:t>entro il 30 novembre 2021</w:t>
      </w:r>
      <w:r w:rsidRPr="001F7615">
        <w:rPr>
          <w:color w:val="000000"/>
          <w:sz w:val="21"/>
          <w:szCs w:val="21"/>
        </w:rPr>
        <w:t xml:space="preserve">; </w:t>
      </w:r>
    </w:p>
    <w:p w14:paraId="00000020" w14:textId="12819648" w:rsidR="00877A6C" w:rsidRPr="001F7615" w:rsidRDefault="00904829" w:rsidP="00782947">
      <w:pPr>
        <w:widowControl w:val="0"/>
        <w:numPr>
          <w:ilvl w:val="0"/>
          <w:numId w:val="13"/>
        </w:numPr>
        <w:spacing w:after="120"/>
        <w:ind w:left="896" w:hanging="448"/>
        <w:jc w:val="both"/>
        <w:rPr>
          <w:sz w:val="21"/>
          <w:szCs w:val="21"/>
        </w:rPr>
      </w:pPr>
      <w:proofErr w:type="gramStart"/>
      <w:r w:rsidRPr="001F7615">
        <w:rPr>
          <w:color w:val="000000"/>
          <w:sz w:val="21"/>
          <w:szCs w:val="21"/>
        </w:rPr>
        <w:t>1 settembre</w:t>
      </w:r>
      <w:proofErr w:type="gramEnd"/>
      <w:r w:rsidRPr="001F7615">
        <w:rPr>
          <w:color w:val="000000"/>
          <w:sz w:val="21"/>
          <w:szCs w:val="21"/>
        </w:rPr>
        <w:t xml:space="preserve"> 2021-31 dicembre 2021: </w:t>
      </w:r>
      <w:r w:rsidRPr="001F7615">
        <w:rPr>
          <w:b/>
          <w:color w:val="000000"/>
          <w:sz w:val="21"/>
          <w:szCs w:val="21"/>
        </w:rPr>
        <w:t>entro il 28 febbraio 2022</w:t>
      </w:r>
      <w:r w:rsidRPr="001F7615">
        <w:rPr>
          <w:color w:val="000000"/>
          <w:sz w:val="21"/>
          <w:szCs w:val="21"/>
        </w:rPr>
        <w:t xml:space="preserve">. </w:t>
      </w:r>
    </w:p>
    <w:p w14:paraId="57B1A4B1" w14:textId="3E5E39D9" w:rsidR="005D17F6" w:rsidRPr="001F7615" w:rsidRDefault="00904829" w:rsidP="006F7435">
      <w:pPr>
        <w:pStyle w:val="Paragrafoelenco"/>
        <w:widowControl w:val="0"/>
        <w:numPr>
          <w:ilvl w:val="0"/>
          <w:numId w:val="8"/>
        </w:numPr>
        <w:pBdr>
          <w:top w:val="nil"/>
          <w:left w:val="nil"/>
          <w:bottom w:val="nil"/>
          <w:right w:val="nil"/>
          <w:between w:val="nil"/>
        </w:pBdr>
        <w:spacing w:after="120"/>
        <w:contextualSpacing w:val="0"/>
        <w:jc w:val="both"/>
        <w:rPr>
          <w:rFonts w:ascii="Times New Roman" w:eastAsia="Times New Roman" w:hAnsi="Times New Roman" w:cs="Times New Roman"/>
          <w:color w:val="000000"/>
          <w:sz w:val="21"/>
          <w:szCs w:val="21"/>
        </w:rPr>
      </w:pPr>
      <w:r w:rsidRPr="001F7615">
        <w:rPr>
          <w:rFonts w:ascii="Times New Roman" w:eastAsia="Times New Roman" w:hAnsi="Times New Roman" w:cs="Times New Roman"/>
          <w:color w:val="000000"/>
          <w:sz w:val="21"/>
          <w:szCs w:val="21"/>
        </w:rPr>
        <w:t xml:space="preserve">l’Agenzia delle Entrate con </w:t>
      </w:r>
      <w:r w:rsidRPr="001F7615">
        <w:rPr>
          <w:rFonts w:ascii="Times New Roman" w:eastAsia="Times New Roman" w:hAnsi="Times New Roman" w:cs="Times New Roman"/>
          <w:b/>
          <w:bCs/>
          <w:color w:val="000000"/>
          <w:sz w:val="21"/>
          <w:szCs w:val="21"/>
        </w:rPr>
        <w:t>Risoluzione n. 67/E del 20 ottobre 2020</w:t>
      </w:r>
      <w:r w:rsidRPr="001F7615">
        <w:rPr>
          <w:rFonts w:ascii="Times New Roman" w:eastAsia="Times New Roman" w:hAnsi="Times New Roman" w:cs="Times New Roman"/>
          <w:color w:val="000000"/>
          <w:sz w:val="21"/>
          <w:szCs w:val="21"/>
        </w:rPr>
        <w:t xml:space="preserve"> ha istituito il codice tributo</w:t>
      </w:r>
      <w:r w:rsidR="00FC6ECC" w:rsidRPr="001F7615">
        <w:rPr>
          <w:rFonts w:ascii="Times New Roman" w:eastAsia="Times New Roman" w:hAnsi="Times New Roman" w:cs="Times New Roman"/>
          <w:color w:val="000000"/>
          <w:sz w:val="21"/>
          <w:szCs w:val="21"/>
        </w:rPr>
        <w:t xml:space="preserve"> </w:t>
      </w:r>
      <w:r w:rsidRPr="001F7615">
        <w:rPr>
          <w:rFonts w:ascii="Times New Roman" w:eastAsia="Times New Roman" w:hAnsi="Times New Roman" w:cs="Times New Roman"/>
          <w:color w:val="000000"/>
          <w:sz w:val="21"/>
          <w:szCs w:val="21"/>
        </w:rPr>
        <w:t xml:space="preserve">“5478” relativo alla riscossione delle entrate derivanti dal versamento dello 0,5 per cento </w:t>
      </w:r>
      <w:r w:rsidRPr="001F7615">
        <w:rPr>
          <w:rFonts w:ascii="Times New Roman" w:eastAsia="Times New Roman" w:hAnsi="Times New Roman" w:cs="Times New Roman"/>
          <w:color w:val="000000"/>
          <w:sz w:val="21"/>
          <w:szCs w:val="21"/>
          <w:u w:val="single"/>
        </w:rPr>
        <w:t>della raccolta delle scommesse sportive, anche virtuali, per il sostegno al sistema sportivo</w:t>
      </w:r>
      <w:r w:rsidR="005D17F6" w:rsidRPr="001F7615">
        <w:rPr>
          <w:rFonts w:ascii="Times New Roman" w:eastAsia="Times New Roman" w:hAnsi="Times New Roman" w:cs="Times New Roman"/>
          <w:color w:val="000000"/>
          <w:sz w:val="21"/>
          <w:szCs w:val="21"/>
        </w:rPr>
        <w:t xml:space="preserve">; </w:t>
      </w:r>
    </w:p>
    <w:p w14:paraId="69C13083" w14:textId="5D5D00F2" w:rsidR="005D17F6" w:rsidRPr="001F7615" w:rsidRDefault="005D17F6" w:rsidP="006F7435">
      <w:pPr>
        <w:pStyle w:val="Paragrafoelenco"/>
        <w:widowControl w:val="0"/>
        <w:numPr>
          <w:ilvl w:val="0"/>
          <w:numId w:val="8"/>
        </w:numPr>
        <w:pBdr>
          <w:top w:val="nil"/>
          <w:left w:val="nil"/>
          <w:bottom w:val="nil"/>
          <w:right w:val="nil"/>
          <w:between w:val="nil"/>
        </w:pBdr>
        <w:tabs>
          <w:tab w:val="left" w:pos="0"/>
        </w:tabs>
        <w:spacing w:after="120"/>
        <w:contextualSpacing w:val="0"/>
        <w:jc w:val="both"/>
        <w:rPr>
          <w:rFonts w:ascii="Times New Roman" w:eastAsia="Times New Roman" w:hAnsi="Times New Roman" w:cs="Times New Roman"/>
          <w:sz w:val="21"/>
          <w:szCs w:val="21"/>
        </w:rPr>
      </w:pPr>
      <w:r w:rsidRPr="001F7615">
        <w:rPr>
          <w:rFonts w:ascii="Times New Roman" w:eastAsia="Times New Roman" w:hAnsi="Times New Roman" w:cs="Times New Roman"/>
          <w:sz w:val="21"/>
          <w:szCs w:val="21"/>
        </w:rPr>
        <w:t xml:space="preserve">il </w:t>
      </w:r>
      <w:r w:rsidRPr="001F7615">
        <w:rPr>
          <w:rFonts w:ascii="Times New Roman" w:eastAsia="Times New Roman" w:hAnsi="Times New Roman" w:cs="Times New Roman"/>
          <w:b/>
          <w:bCs/>
          <w:sz w:val="21"/>
          <w:szCs w:val="21"/>
        </w:rPr>
        <w:t>DPCM del 24 ottobre 2020</w:t>
      </w:r>
      <w:r w:rsidRPr="001F7615">
        <w:rPr>
          <w:rFonts w:ascii="Times New Roman" w:eastAsia="Times New Roman" w:hAnsi="Times New Roman" w:cs="Times New Roman"/>
          <w:sz w:val="21"/>
          <w:szCs w:val="21"/>
        </w:rPr>
        <w:t xml:space="preserve"> </w:t>
      </w:r>
      <w:r w:rsidRPr="001F7615">
        <w:rPr>
          <w:rFonts w:ascii="Times New Roman" w:eastAsia="Times New Roman" w:hAnsi="Times New Roman" w:cs="Times New Roman"/>
          <w:i/>
          <w:iCs/>
          <w:sz w:val="21"/>
          <w:szCs w:val="21"/>
        </w:rPr>
        <w:t>Ulteriori disposizioni attuative del decreto-legge 25 marzo 2020, n. 19, convertito, con modificazioni, dalla legge 25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w:t>
      </w:r>
      <w:r w:rsidRPr="001F7615">
        <w:rPr>
          <w:rFonts w:ascii="Times New Roman" w:hAnsi="Times New Roman" w:cs="Times New Roman"/>
          <w:b/>
          <w:bCs/>
          <w:sz w:val="21"/>
          <w:szCs w:val="21"/>
          <w:vertAlign w:val="superscript"/>
        </w:rPr>
        <w:footnoteReference w:id="3"/>
      </w:r>
      <w:r w:rsidRPr="001F7615">
        <w:rPr>
          <w:rFonts w:ascii="Times New Roman" w:eastAsia="Times New Roman" w:hAnsi="Times New Roman" w:cs="Times New Roman"/>
          <w:sz w:val="21"/>
          <w:szCs w:val="21"/>
        </w:rPr>
        <w:t xml:space="preserve">, pubblicato sulla Gazzetta Ufficiale del 25 ottobre 2020, ha nuovamente disposto la chiusura delle sale scommesse, unitamente alle sale gioco, sale bingo e casinò  fino al 24 novembre p.v.; </w:t>
      </w:r>
    </w:p>
    <w:p w14:paraId="00000023" w14:textId="21494810" w:rsidR="00877A6C" w:rsidRPr="001F7615" w:rsidRDefault="00314221" w:rsidP="006F7435">
      <w:pPr>
        <w:pStyle w:val="Titolo3"/>
        <w:numPr>
          <w:ilvl w:val="0"/>
          <w:numId w:val="8"/>
        </w:numPr>
        <w:spacing w:before="0" w:after="120"/>
        <w:jc w:val="both"/>
        <w:rPr>
          <w:rFonts w:ascii="Times New Roman" w:hAnsi="Times New Roman" w:cs="Times New Roman"/>
          <w:b w:val="0"/>
          <w:color w:val="444444"/>
          <w:sz w:val="21"/>
          <w:szCs w:val="21"/>
        </w:rPr>
      </w:pPr>
      <w:r w:rsidRPr="001F7615">
        <w:rPr>
          <w:rFonts w:ascii="Times New Roman" w:eastAsia="Times New Roman" w:hAnsi="Times New Roman" w:cs="Times New Roman"/>
          <w:sz w:val="21"/>
          <w:szCs w:val="21"/>
        </w:rPr>
        <w:t xml:space="preserve">il DPCM del 3 novembre 2020  </w:t>
      </w:r>
      <w:r w:rsidRPr="001F7615">
        <w:rPr>
          <w:rFonts w:ascii="Times New Roman" w:hAnsi="Times New Roman" w:cs="Times New Roman"/>
          <w:b w:val="0"/>
          <w:bCs/>
          <w:i/>
          <w:iCs/>
          <w:color w:val="444444"/>
          <w:sz w:val="21"/>
          <w:szCs w:val="21"/>
          <w:bdr w:val="none" w:sz="0" w:space="0" w:color="auto" w:frame="1"/>
        </w:rPr>
        <w:t>Ulteriori disposizioni attuative del decreto-legge 25 marzo 2020, n. 19, convertito, con modificazioni, dalla legge 25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w:t>
      </w:r>
      <w:r w:rsidR="00514CEA" w:rsidRPr="001F7615">
        <w:rPr>
          <w:rStyle w:val="Rimandonotaapidipagina"/>
          <w:rFonts w:ascii="Times New Roman" w:hAnsi="Times New Roman" w:cs="Times New Roman"/>
          <w:i/>
          <w:iCs/>
          <w:color w:val="444444"/>
          <w:sz w:val="21"/>
          <w:szCs w:val="21"/>
          <w:bdr w:val="none" w:sz="0" w:space="0" w:color="auto" w:frame="1"/>
        </w:rPr>
        <w:footnoteReference w:id="4"/>
      </w:r>
      <w:r w:rsidRPr="001F7615">
        <w:rPr>
          <w:rFonts w:ascii="Times New Roman" w:hAnsi="Times New Roman" w:cs="Times New Roman"/>
          <w:b w:val="0"/>
          <w:bCs/>
          <w:color w:val="444444"/>
          <w:sz w:val="21"/>
          <w:szCs w:val="21"/>
          <w:bdr w:val="none" w:sz="0" w:space="0" w:color="auto" w:frame="1"/>
        </w:rPr>
        <w:t xml:space="preserve"> pubblicato sulla Gazz</w:t>
      </w:r>
      <w:r w:rsidR="00B95D08" w:rsidRPr="001F7615">
        <w:rPr>
          <w:rFonts w:ascii="Times New Roman" w:hAnsi="Times New Roman" w:cs="Times New Roman"/>
          <w:b w:val="0"/>
          <w:bCs/>
          <w:color w:val="444444"/>
          <w:sz w:val="21"/>
          <w:szCs w:val="21"/>
          <w:bdr w:val="none" w:sz="0" w:space="0" w:color="auto" w:frame="1"/>
        </w:rPr>
        <w:t>e</w:t>
      </w:r>
      <w:r w:rsidRPr="001F7615">
        <w:rPr>
          <w:rFonts w:ascii="Times New Roman" w:hAnsi="Times New Roman" w:cs="Times New Roman"/>
          <w:b w:val="0"/>
          <w:bCs/>
          <w:color w:val="444444"/>
          <w:sz w:val="21"/>
          <w:szCs w:val="21"/>
          <w:bdr w:val="none" w:sz="0" w:space="0" w:color="auto" w:frame="1"/>
        </w:rPr>
        <w:t>tta Ufficiale del 4</w:t>
      </w:r>
      <w:r w:rsidR="00782947" w:rsidRPr="001F7615">
        <w:rPr>
          <w:rFonts w:ascii="Times New Roman" w:hAnsi="Times New Roman" w:cs="Times New Roman"/>
          <w:b w:val="0"/>
          <w:bCs/>
          <w:color w:val="444444"/>
          <w:sz w:val="21"/>
          <w:szCs w:val="21"/>
          <w:bdr w:val="none" w:sz="0" w:space="0" w:color="auto" w:frame="1"/>
        </w:rPr>
        <w:t>.11.</w:t>
      </w:r>
      <w:r w:rsidRPr="001F7615">
        <w:rPr>
          <w:rFonts w:ascii="Times New Roman" w:hAnsi="Times New Roman" w:cs="Times New Roman"/>
          <w:b w:val="0"/>
          <w:bCs/>
          <w:color w:val="444444"/>
          <w:sz w:val="21"/>
          <w:szCs w:val="21"/>
          <w:bdr w:val="none" w:sz="0" w:space="0" w:color="auto" w:frame="1"/>
        </w:rPr>
        <w:t xml:space="preserve">2020, ha disposto </w:t>
      </w:r>
      <w:r w:rsidR="00514CEA" w:rsidRPr="001F7615">
        <w:rPr>
          <w:rFonts w:ascii="Times New Roman" w:hAnsi="Times New Roman" w:cs="Times New Roman"/>
          <w:b w:val="0"/>
          <w:bCs/>
          <w:color w:val="444444"/>
          <w:sz w:val="21"/>
          <w:szCs w:val="21"/>
          <w:bdr w:val="none" w:sz="0" w:space="0" w:color="auto" w:frame="1"/>
        </w:rPr>
        <w:t>la sospensione della commercializzazione del gioco pubblico anche presso i corner</w:t>
      </w:r>
      <w:r w:rsidR="00C0668F" w:rsidRPr="001F7615">
        <w:rPr>
          <w:rFonts w:ascii="Times New Roman" w:hAnsi="Times New Roman" w:cs="Times New Roman"/>
          <w:b w:val="0"/>
          <w:bCs/>
          <w:color w:val="444444"/>
          <w:sz w:val="21"/>
          <w:szCs w:val="21"/>
          <w:bdr w:val="none" w:sz="0" w:space="0" w:color="auto" w:frame="1"/>
        </w:rPr>
        <w:t xml:space="preserve"> e </w:t>
      </w:r>
      <w:r w:rsidR="00B95D08" w:rsidRPr="001F7615">
        <w:rPr>
          <w:rFonts w:ascii="Times New Roman" w:hAnsi="Times New Roman" w:cs="Times New Roman"/>
          <w:b w:val="0"/>
          <w:bCs/>
          <w:color w:val="444444"/>
          <w:sz w:val="21"/>
          <w:szCs w:val="21"/>
          <w:bdr w:val="none" w:sz="0" w:space="0" w:color="auto" w:frame="1"/>
        </w:rPr>
        <w:t xml:space="preserve">ciò con effetto dal 6 novembre 2020 </w:t>
      </w:r>
      <w:r w:rsidR="00EE3A03" w:rsidRPr="001F7615">
        <w:rPr>
          <w:rFonts w:ascii="Times New Roman" w:hAnsi="Times New Roman" w:cs="Times New Roman"/>
          <w:b w:val="0"/>
          <w:bCs/>
          <w:color w:val="444444"/>
          <w:sz w:val="21"/>
          <w:szCs w:val="21"/>
          <w:bdr w:val="none" w:sz="0" w:space="0" w:color="auto" w:frame="1"/>
        </w:rPr>
        <w:t xml:space="preserve">fino </w:t>
      </w:r>
      <w:r w:rsidR="00B95D08" w:rsidRPr="001F7615">
        <w:rPr>
          <w:rFonts w:ascii="Times New Roman" w:hAnsi="Times New Roman" w:cs="Times New Roman"/>
          <w:b w:val="0"/>
          <w:bCs/>
          <w:color w:val="444444"/>
          <w:sz w:val="21"/>
          <w:szCs w:val="21"/>
          <w:bdr w:val="none" w:sz="0" w:space="0" w:color="auto" w:frame="1"/>
        </w:rPr>
        <w:t>al 3 dicembre 2020</w:t>
      </w:r>
      <w:r w:rsidR="00C0668F" w:rsidRPr="001F7615">
        <w:rPr>
          <w:rFonts w:ascii="Times New Roman" w:hAnsi="Times New Roman" w:cs="Times New Roman"/>
          <w:b w:val="0"/>
          <w:bCs/>
          <w:color w:val="444444"/>
          <w:sz w:val="21"/>
          <w:szCs w:val="21"/>
          <w:bdr w:val="none" w:sz="0" w:space="0" w:color="auto" w:frame="1"/>
        </w:rPr>
        <w:t xml:space="preserve">  (giusta previsione del relativo art. 14)</w:t>
      </w:r>
      <w:r w:rsidR="00B95D08" w:rsidRPr="001F7615">
        <w:rPr>
          <w:rFonts w:ascii="Times New Roman" w:hAnsi="Times New Roman" w:cs="Times New Roman"/>
          <w:b w:val="0"/>
          <w:bCs/>
          <w:color w:val="444444"/>
          <w:sz w:val="21"/>
          <w:szCs w:val="21"/>
          <w:bdr w:val="none" w:sz="0" w:space="0" w:color="auto" w:frame="1"/>
        </w:rPr>
        <w:t>;</w:t>
      </w:r>
    </w:p>
    <w:p w14:paraId="00000024" w14:textId="77777777" w:rsidR="00877A6C" w:rsidRPr="001F7615" w:rsidRDefault="00904829" w:rsidP="006F7435">
      <w:pPr>
        <w:widowControl w:val="0"/>
        <w:pBdr>
          <w:top w:val="nil"/>
          <w:left w:val="nil"/>
          <w:bottom w:val="nil"/>
          <w:right w:val="nil"/>
          <w:between w:val="nil"/>
        </w:pBdr>
        <w:spacing w:after="120"/>
        <w:ind w:left="450" w:hanging="450"/>
        <w:jc w:val="center"/>
        <w:rPr>
          <w:b/>
          <w:color w:val="000000"/>
          <w:sz w:val="21"/>
          <w:szCs w:val="21"/>
        </w:rPr>
      </w:pPr>
      <w:r w:rsidRPr="001F7615">
        <w:rPr>
          <w:b/>
          <w:color w:val="000000"/>
          <w:sz w:val="21"/>
          <w:szCs w:val="21"/>
        </w:rPr>
        <w:t>CONSIDERATO CHE</w:t>
      </w:r>
    </w:p>
    <w:p w14:paraId="00000025" w14:textId="7FBD186E" w:rsidR="00877A6C" w:rsidRPr="001F7615" w:rsidRDefault="00904829" w:rsidP="006F7435">
      <w:pPr>
        <w:widowControl w:val="0"/>
        <w:numPr>
          <w:ilvl w:val="0"/>
          <w:numId w:val="5"/>
        </w:numPr>
        <w:pBdr>
          <w:top w:val="nil"/>
          <w:left w:val="nil"/>
          <w:bottom w:val="nil"/>
          <w:right w:val="nil"/>
          <w:between w:val="nil"/>
        </w:pBdr>
        <w:tabs>
          <w:tab w:val="left" w:pos="0"/>
        </w:tabs>
        <w:spacing w:after="120"/>
        <w:ind w:left="450" w:hanging="450"/>
        <w:jc w:val="both"/>
        <w:rPr>
          <w:color w:val="000000"/>
          <w:sz w:val="21"/>
          <w:szCs w:val="21"/>
        </w:rPr>
      </w:pPr>
      <w:r w:rsidRPr="001F7615">
        <w:rPr>
          <w:color w:val="000000"/>
          <w:sz w:val="21"/>
          <w:szCs w:val="21"/>
        </w:rPr>
        <w:t xml:space="preserve">alla luce della richiamata relazione tecnica </w:t>
      </w:r>
      <w:r w:rsidR="00206126" w:rsidRPr="001F7615">
        <w:rPr>
          <w:color w:val="000000"/>
          <w:sz w:val="21"/>
          <w:szCs w:val="21"/>
        </w:rPr>
        <w:t>appare</w:t>
      </w:r>
      <w:r w:rsidRPr="001F7615">
        <w:rPr>
          <w:color w:val="000000"/>
          <w:sz w:val="21"/>
          <w:szCs w:val="21"/>
        </w:rPr>
        <w:t xml:space="preserve"> eviden</w:t>
      </w:r>
      <w:r w:rsidR="00206126" w:rsidRPr="001F7615">
        <w:rPr>
          <w:color w:val="000000"/>
          <w:sz w:val="21"/>
          <w:szCs w:val="21"/>
        </w:rPr>
        <w:t xml:space="preserve">te </w:t>
      </w:r>
      <w:r w:rsidRPr="001F7615">
        <w:rPr>
          <w:color w:val="000000"/>
          <w:sz w:val="21"/>
          <w:szCs w:val="21"/>
        </w:rPr>
        <w:t>c</w:t>
      </w:r>
      <w:r w:rsidR="00206126" w:rsidRPr="001F7615">
        <w:rPr>
          <w:color w:val="000000"/>
          <w:sz w:val="21"/>
          <w:szCs w:val="21"/>
        </w:rPr>
        <w:t>he</w:t>
      </w:r>
      <w:r w:rsidRPr="001F7615">
        <w:rPr>
          <w:color w:val="000000"/>
          <w:sz w:val="21"/>
          <w:szCs w:val="21"/>
        </w:rPr>
        <w:t xml:space="preserve"> il Legislatore </w:t>
      </w:r>
      <w:r w:rsidRPr="001F7615">
        <w:rPr>
          <w:sz w:val="21"/>
          <w:szCs w:val="21"/>
        </w:rPr>
        <w:t>abbia</w:t>
      </w:r>
      <w:r w:rsidRPr="001F7615">
        <w:rPr>
          <w:color w:val="000000"/>
          <w:sz w:val="21"/>
          <w:szCs w:val="21"/>
        </w:rPr>
        <w:t xml:space="preserve"> inteso applicare l’0.5</w:t>
      </w:r>
      <w:r w:rsidR="00386421" w:rsidRPr="001F7615">
        <w:rPr>
          <w:color w:val="000000"/>
          <w:sz w:val="21"/>
          <w:szCs w:val="21"/>
        </w:rPr>
        <w:t>%</w:t>
      </w:r>
      <w:r w:rsidRPr="001F7615">
        <w:rPr>
          <w:color w:val="000000"/>
          <w:sz w:val="21"/>
          <w:szCs w:val="21"/>
        </w:rPr>
        <w:t xml:space="preserve"> (cd onere aggiuntivo) soltanto alle scommesse sportive – raccolte con il canale terrestre e quello on line - ed alle scommesse virtuali; </w:t>
      </w:r>
    </w:p>
    <w:p w14:paraId="00000026" w14:textId="09096431" w:rsidR="00877A6C" w:rsidRPr="001F7615" w:rsidRDefault="00904829" w:rsidP="006F7435">
      <w:pPr>
        <w:widowControl w:val="0"/>
        <w:numPr>
          <w:ilvl w:val="0"/>
          <w:numId w:val="5"/>
        </w:numPr>
        <w:pBdr>
          <w:top w:val="nil"/>
          <w:left w:val="nil"/>
          <w:bottom w:val="nil"/>
          <w:right w:val="nil"/>
          <w:between w:val="nil"/>
        </w:pBdr>
        <w:tabs>
          <w:tab w:val="left" w:pos="0"/>
        </w:tabs>
        <w:spacing w:after="120"/>
        <w:ind w:left="450" w:hanging="450"/>
        <w:jc w:val="both"/>
        <w:rPr>
          <w:color w:val="000000"/>
          <w:sz w:val="21"/>
          <w:szCs w:val="21"/>
        </w:rPr>
      </w:pPr>
      <w:r w:rsidRPr="001F7615">
        <w:rPr>
          <w:color w:val="000000"/>
          <w:sz w:val="21"/>
          <w:szCs w:val="21"/>
        </w:rPr>
        <w:t>anche nella Risoluzione dell’Agenzia delle Entrate del 20 ottobre u</w:t>
      </w:r>
      <w:r w:rsidR="00206126" w:rsidRPr="001F7615">
        <w:rPr>
          <w:color w:val="000000"/>
          <w:sz w:val="21"/>
          <w:szCs w:val="21"/>
        </w:rPr>
        <w:t>.</w:t>
      </w:r>
      <w:r w:rsidRPr="001F7615">
        <w:rPr>
          <w:color w:val="000000"/>
          <w:sz w:val="21"/>
          <w:szCs w:val="21"/>
        </w:rPr>
        <w:t>s</w:t>
      </w:r>
      <w:r w:rsidR="00206126" w:rsidRPr="001F7615">
        <w:rPr>
          <w:color w:val="000000"/>
          <w:sz w:val="21"/>
          <w:szCs w:val="21"/>
        </w:rPr>
        <w:t>.</w:t>
      </w:r>
      <w:r w:rsidRPr="001F7615">
        <w:rPr>
          <w:color w:val="000000"/>
          <w:sz w:val="21"/>
          <w:szCs w:val="21"/>
        </w:rPr>
        <w:t xml:space="preserve"> è ben specificato che il codice tributo è stato istituito solo per le scommesse sportive, mentre non vengono menzionate le scommesse ippiche né tantomeno le scommesse ad interazione diretta tra i giocatori;  </w:t>
      </w:r>
    </w:p>
    <w:p w14:paraId="00000027" w14:textId="77777777" w:rsidR="00877A6C" w:rsidRPr="001F7615" w:rsidRDefault="00904829" w:rsidP="006F7435">
      <w:pPr>
        <w:widowControl w:val="0"/>
        <w:numPr>
          <w:ilvl w:val="0"/>
          <w:numId w:val="5"/>
        </w:numPr>
        <w:pBdr>
          <w:top w:val="nil"/>
          <w:left w:val="nil"/>
          <w:bottom w:val="nil"/>
          <w:right w:val="nil"/>
          <w:between w:val="nil"/>
        </w:pBdr>
        <w:spacing w:after="120"/>
        <w:ind w:left="450" w:hanging="450"/>
        <w:jc w:val="both"/>
        <w:rPr>
          <w:color w:val="000000"/>
          <w:sz w:val="21"/>
          <w:szCs w:val="21"/>
        </w:rPr>
      </w:pPr>
      <w:r w:rsidRPr="001F7615">
        <w:rPr>
          <w:color w:val="000000"/>
          <w:sz w:val="21"/>
          <w:szCs w:val="21"/>
        </w:rPr>
        <w:t>che la crisi della raccolta delle scommesse ippiche già si manifestava in tutta la sua drammaticità nel corso del 2012, ed invero viene in rilievo quanto esposto in sede di presentazione del disegno di legge n.3436 della sedicesima Legislatura nel quale si legge quanto segue: “</w:t>
      </w:r>
      <w:r w:rsidRPr="001F7615">
        <w:rPr>
          <w:i/>
          <w:color w:val="000000"/>
          <w:sz w:val="21"/>
          <w:szCs w:val="21"/>
        </w:rPr>
        <w:t xml:space="preserve">La crisi dell'ippica italiana è dovuta alla drammatica riduzione della raccolta delle scommesse ippiche fagocitate da altri giochi più redditizi per l'erario e quindi più rinnovati, valorizzati e promossi, e dalla concomitante riduzione di pubblico negli ippodromi. Il calo di montepremi e provvidenze all'allevamento che sta mettendo in grande difficoltà proprietari e allevatori con preoccupante riduzione di cavalli nati, non sono la causa della crisi ma l'effetto della crisi, per cui qualsiasi rilancio e promozione dell'ippica passa per la ristrutturazione delle scommesse e per il ritorno degli ippodromi nel costume degli italiani: naturalmente occorre finanziare al massimo montepremi e provvidenze </w:t>
      </w:r>
      <w:r w:rsidRPr="001F7615">
        <w:rPr>
          <w:i/>
          <w:sz w:val="21"/>
          <w:szCs w:val="21"/>
        </w:rPr>
        <w:t>perché</w:t>
      </w:r>
      <w:r w:rsidRPr="001F7615">
        <w:rPr>
          <w:i/>
          <w:color w:val="000000"/>
          <w:sz w:val="21"/>
          <w:szCs w:val="21"/>
        </w:rPr>
        <w:t xml:space="preserve"> proprietari e allevatori sono i protagonisti dello spettacolo e sarebbe assurdo cercare di migliorare il prodotto necessario al rilancio, senza la materia prima (cavalli) che è sempre stata ottima da molti anni anche nel periodo in cui è maturata la crisi.</w:t>
      </w:r>
      <w:r w:rsidRPr="001F7615">
        <w:rPr>
          <w:color w:val="000000"/>
          <w:sz w:val="21"/>
          <w:szCs w:val="21"/>
        </w:rPr>
        <w:t>”</w:t>
      </w:r>
    </w:p>
    <w:p w14:paraId="00000028" w14:textId="40DD1738" w:rsidR="00877A6C" w:rsidRPr="001F7615" w:rsidRDefault="00904829" w:rsidP="006F7435">
      <w:pPr>
        <w:widowControl w:val="0"/>
        <w:numPr>
          <w:ilvl w:val="0"/>
          <w:numId w:val="5"/>
        </w:numPr>
        <w:pBdr>
          <w:top w:val="nil"/>
          <w:left w:val="nil"/>
          <w:bottom w:val="nil"/>
          <w:right w:val="nil"/>
          <w:between w:val="nil"/>
        </w:pBdr>
        <w:tabs>
          <w:tab w:val="left" w:pos="0"/>
        </w:tabs>
        <w:spacing w:after="120"/>
        <w:ind w:left="450" w:hanging="450"/>
        <w:jc w:val="both"/>
        <w:rPr>
          <w:sz w:val="21"/>
          <w:szCs w:val="21"/>
        </w:rPr>
      </w:pPr>
      <w:r w:rsidRPr="001F7615">
        <w:rPr>
          <w:sz w:val="21"/>
          <w:szCs w:val="21"/>
        </w:rPr>
        <w:lastRenderedPageBreak/>
        <w:t>l’applicazione del prelievo dello 0,5</w:t>
      </w:r>
      <w:r w:rsidR="00386421" w:rsidRPr="001F7615">
        <w:rPr>
          <w:sz w:val="21"/>
          <w:szCs w:val="21"/>
        </w:rPr>
        <w:t>%</w:t>
      </w:r>
      <w:r w:rsidRPr="001F7615">
        <w:rPr>
          <w:sz w:val="21"/>
          <w:szCs w:val="21"/>
        </w:rPr>
        <w:t xml:space="preserve"> sulla raccolta anche di tutte le scommesse connesse alle corse dei cavalli e delle</w:t>
      </w:r>
      <w:r w:rsidR="00206126" w:rsidRPr="001F7615">
        <w:rPr>
          <w:sz w:val="21"/>
          <w:szCs w:val="21"/>
        </w:rPr>
        <w:t xml:space="preserve"> </w:t>
      </w:r>
      <w:r w:rsidRPr="001F7615">
        <w:rPr>
          <w:sz w:val="21"/>
          <w:szCs w:val="21"/>
        </w:rPr>
        <w:t xml:space="preserve">scommesse a distanza a quota fissa con interazione diretta fra i giocatori, così come individuate nella Determina dell’8 settembre 2020, non farebbe altro che acuire la profonda crisi in </w:t>
      </w:r>
      <w:r w:rsidR="00206126" w:rsidRPr="001F7615">
        <w:rPr>
          <w:sz w:val="21"/>
          <w:szCs w:val="21"/>
        </w:rPr>
        <w:t xml:space="preserve">cui </w:t>
      </w:r>
      <w:r w:rsidRPr="001F7615">
        <w:rPr>
          <w:sz w:val="21"/>
          <w:szCs w:val="21"/>
        </w:rPr>
        <w:t>versa il settore delle scommesse su base ippica</w:t>
      </w:r>
      <w:r w:rsidR="00206126" w:rsidRPr="001F7615">
        <w:rPr>
          <w:sz w:val="21"/>
          <w:szCs w:val="21"/>
        </w:rPr>
        <w:t>, così come la incapienza di</w:t>
      </w:r>
      <w:r w:rsidRPr="001F7615">
        <w:rPr>
          <w:sz w:val="21"/>
          <w:szCs w:val="21"/>
        </w:rPr>
        <w:t xml:space="preserve"> quello delle </w:t>
      </w:r>
      <w:r w:rsidR="00386421" w:rsidRPr="001F7615">
        <w:rPr>
          <w:sz w:val="21"/>
          <w:szCs w:val="21"/>
        </w:rPr>
        <w:t>scommesse a</w:t>
      </w:r>
      <w:r w:rsidR="00206126" w:rsidRPr="001F7615">
        <w:rPr>
          <w:sz w:val="21"/>
          <w:szCs w:val="21"/>
        </w:rPr>
        <w:t xml:space="preserve"> </w:t>
      </w:r>
      <w:r w:rsidRPr="001F7615">
        <w:rPr>
          <w:sz w:val="21"/>
          <w:szCs w:val="21"/>
        </w:rPr>
        <w:t xml:space="preserve">quota fissa con interazione diretta fra i giocatori;  </w:t>
      </w:r>
    </w:p>
    <w:p w14:paraId="00000029" w14:textId="1745612B" w:rsidR="00877A6C" w:rsidRPr="001F7615" w:rsidRDefault="00904829" w:rsidP="006F7435">
      <w:pPr>
        <w:widowControl w:val="0"/>
        <w:numPr>
          <w:ilvl w:val="0"/>
          <w:numId w:val="5"/>
        </w:numPr>
        <w:pBdr>
          <w:top w:val="nil"/>
          <w:left w:val="nil"/>
          <w:bottom w:val="nil"/>
          <w:right w:val="nil"/>
          <w:between w:val="nil"/>
        </w:pBdr>
        <w:tabs>
          <w:tab w:val="left" w:pos="0"/>
        </w:tabs>
        <w:spacing w:after="120"/>
        <w:ind w:left="450" w:hanging="450"/>
        <w:jc w:val="both"/>
        <w:rPr>
          <w:sz w:val="21"/>
          <w:szCs w:val="21"/>
        </w:rPr>
      </w:pPr>
      <w:r w:rsidRPr="001F7615">
        <w:rPr>
          <w:sz w:val="21"/>
          <w:szCs w:val="21"/>
        </w:rPr>
        <w:t xml:space="preserve">Vi è dunque un errore nell’interpretazione e nella conseguente applicazione della normativa primaria da parte di Codesta Spettabile Agenzia che ha indebitamente esteso la portata normativa a tipologie di gioco che non erano comprese dalla norma. </w:t>
      </w:r>
    </w:p>
    <w:p w14:paraId="0000002B" w14:textId="0F41D008" w:rsidR="00877A6C" w:rsidRPr="001F7615" w:rsidRDefault="005D17F6" w:rsidP="006F7435">
      <w:pPr>
        <w:widowControl w:val="0"/>
        <w:numPr>
          <w:ilvl w:val="0"/>
          <w:numId w:val="2"/>
        </w:numPr>
        <w:pBdr>
          <w:top w:val="nil"/>
          <w:left w:val="nil"/>
          <w:bottom w:val="nil"/>
          <w:right w:val="nil"/>
          <w:between w:val="nil"/>
        </w:pBdr>
        <w:spacing w:after="120"/>
        <w:ind w:left="450" w:hanging="450"/>
        <w:jc w:val="both"/>
        <w:rPr>
          <w:color w:val="000000"/>
          <w:sz w:val="21"/>
          <w:szCs w:val="21"/>
        </w:rPr>
      </w:pPr>
      <w:r w:rsidRPr="001F7615">
        <w:rPr>
          <w:sz w:val="21"/>
          <w:szCs w:val="21"/>
        </w:rPr>
        <w:t xml:space="preserve">con riferimento poi a quanto stabilito dal DPCM del 24 ottobre us, e </w:t>
      </w:r>
      <w:r w:rsidR="00EE3A03" w:rsidRPr="001F7615">
        <w:rPr>
          <w:sz w:val="21"/>
          <w:szCs w:val="21"/>
        </w:rPr>
        <w:t xml:space="preserve">dal DPCM 3 novembre us </w:t>
      </w:r>
      <w:r w:rsidR="00386421" w:rsidRPr="001F7615">
        <w:rPr>
          <w:sz w:val="21"/>
          <w:szCs w:val="21"/>
        </w:rPr>
        <w:t xml:space="preserve">la </w:t>
      </w:r>
      <w:r w:rsidR="00386421" w:rsidRPr="001F7615">
        <w:rPr>
          <w:color w:val="000000"/>
          <w:sz w:val="21"/>
          <w:szCs w:val="21"/>
        </w:rPr>
        <w:t>chiusura</w:t>
      </w:r>
      <w:r w:rsidR="00904829" w:rsidRPr="001F7615">
        <w:rPr>
          <w:color w:val="000000"/>
          <w:sz w:val="21"/>
          <w:szCs w:val="21"/>
        </w:rPr>
        <w:t xml:space="preserve"> </w:t>
      </w:r>
      <w:r w:rsidRPr="001F7615">
        <w:rPr>
          <w:color w:val="000000"/>
          <w:sz w:val="21"/>
          <w:szCs w:val="21"/>
        </w:rPr>
        <w:t xml:space="preserve">di tutti i punti di vendita di gioco </w:t>
      </w:r>
      <w:r w:rsidR="00386421" w:rsidRPr="001F7615">
        <w:rPr>
          <w:color w:val="000000"/>
          <w:sz w:val="21"/>
          <w:szCs w:val="21"/>
        </w:rPr>
        <w:t>pubblico accentua</w:t>
      </w:r>
      <w:r w:rsidR="00904829" w:rsidRPr="001F7615">
        <w:rPr>
          <w:color w:val="000000"/>
          <w:sz w:val="21"/>
          <w:szCs w:val="21"/>
        </w:rPr>
        <w:t xml:space="preserve"> l</w:t>
      </w:r>
      <w:r w:rsidR="00904829" w:rsidRPr="001F7615">
        <w:rPr>
          <w:sz w:val="21"/>
          <w:szCs w:val="21"/>
        </w:rPr>
        <w:t>a</w:t>
      </w:r>
      <w:r w:rsidR="00904829" w:rsidRPr="001F7615">
        <w:rPr>
          <w:color w:val="000000"/>
          <w:sz w:val="21"/>
          <w:szCs w:val="21"/>
        </w:rPr>
        <w:t xml:space="preserve"> grave crisi economica e di liquidità di tutto il comparto del settore del gioco pubblico, </w:t>
      </w:r>
      <w:r w:rsidR="00904829" w:rsidRPr="001F7615">
        <w:rPr>
          <w:sz w:val="21"/>
          <w:szCs w:val="21"/>
        </w:rPr>
        <w:t>di conseguenza la crisi economica in versa l’azienda condotta dall</w:t>
      </w:r>
      <w:r w:rsidR="00904829" w:rsidRPr="001F7615">
        <w:rPr>
          <w:color w:val="000000"/>
          <w:sz w:val="21"/>
          <w:szCs w:val="21"/>
        </w:rPr>
        <w:t xml:space="preserve">’esponente. </w:t>
      </w:r>
    </w:p>
    <w:p w14:paraId="0000002D" w14:textId="6AD6855E" w:rsidR="00877A6C" w:rsidRPr="001F7615" w:rsidRDefault="00904829" w:rsidP="006F7435">
      <w:pPr>
        <w:widowControl w:val="0"/>
        <w:spacing w:after="120"/>
        <w:ind w:left="450" w:hanging="450"/>
        <w:rPr>
          <w:sz w:val="21"/>
          <w:szCs w:val="21"/>
        </w:rPr>
      </w:pPr>
      <w:r w:rsidRPr="001F7615">
        <w:rPr>
          <w:sz w:val="21"/>
          <w:szCs w:val="21"/>
        </w:rPr>
        <w:t>Tutto ciò premesso e considerato,</w:t>
      </w:r>
    </w:p>
    <w:p w14:paraId="172F1B58" w14:textId="77777777" w:rsidR="00386421" w:rsidRPr="001F7615" w:rsidRDefault="00206126" w:rsidP="006F7435">
      <w:pPr>
        <w:widowControl w:val="0"/>
        <w:spacing w:after="120"/>
        <w:ind w:left="450" w:hanging="450"/>
        <w:jc w:val="center"/>
        <w:rPr>
          <w:b/>
          <w:sz w:val="21"/>
          <w:szCs w:val="21"/>
        </w:rPr>
      </w:pPr>
      <w:r w:rsidRPr="001F7615">
        <w:rPr>
          <w:b/>
          <w:sz w:val="21"/>
          <w:szCs w:val="21"/>
        </w:rPr>
        <w:t>INVITA</w:t>
      </w:r>
    </w:p>
    <w:p w14:paraId="0000002F" w14:textId="518C874B" w:rsidR="00877A6C" w:rsidRPr="001F7615" w:rsidRDefault="00904829" w:rsidP="00281151">
      <w:pPr>
        <w:widowControl w:val="0"/>
        <w:spacing w:after="120"/>
        <w:jc w:val="both"/>
        <w:rPr>
          <w:b/>
          <w:sz w:val="21"/>
          <w:szCs w:val="21"/>
        </w:rPr>
      </w:pPr>
      <w:r w:rsidRPr="001F7615">
        <w:rPr>
          <w:sz w:val="21"/>
          <w:szCs w:val="21"/>
        </w:rPr>
        <w:t xml:space="preserve">le Amministrazioni in indirizzo </w:t>
      </w:r>
      <w:r w:rsidR="00206126" w:rsidRPr="001F7615">
        <w:rPr>
          <w:sz w:val="21"/>
          <w:szCs w:val="21"/>
        </w:rPr>
        <w:t>ad</w:t>
      </w:r>
      <w:r w:rsidRPr="001F7615">
        <w:rPr>
          <w:sz w:val="21"/>
          <w:szCs w:val="21"/>
        </w:rPr>
        <w:t xml:space="preserve"> avviare il procedimento di verifica delle circostanze sopra indicate, adottando: </w:t>
      </w:r>
    </w:p>
    <w:p w14:paraId="00000030" w14:textId="03317FD4" w:rsidR="00877A6C" w:rsidRPr="001F7615" w:rsidRDefault="00904829" w:rsidP="006F7435">
      <w:pPr>
        <w:pStyle w:val="Paragrafoelenco"/>
        <w:widowControl w:val="0"/>
        <w:numPr>
          <w:ilvl w:val="0"/>
          <w:numId w:val="9"/>
        </w:numPr>
        <w:spacing w:after="120"/>
        <w:ind w:left="284" w:hanging="142"/>
        <w:contextualSpacing w:val="0"/>
        <w:jc w:val="both"/>
        <w:rPr>
          <w:rFonts w:ascii="Times New Roman" w:eastAsia="Times New Roman" w:hAnsi="Times New Roman" w:cs="Times New Roman"/>
          <w:sz w:val="21"/>
          <w:szCs w:val="21"/>
        </w:rPr>
      </w:pPr>
      <w:r w:rsidRPr="001F7615">
        <w:rPr>
          <w:rFonts w:ascii="Times New Roman" w:eastAsia="Times New Roman" w:hAnsi="Times New Roman" w:cs="Times New Roman"/>
          <w:sz w:val="21"/>
          <w:szCs w:val="21"/>
        </w:rPr>
        <w:t xml:space="preserve">la sospensione </w:t>
      </w:r>
      <w:r w:rsidR="00206126" w:rsidRPr="001F7615">
        <w:rPr>
          <w:rFonts w:ascii="Times New Roman" w:eastAsia="Times New Roman" w:hAnsi="Times New Roman" w:cs="Times New Roman"/>
          <w:sz w:val="21"/>
          <w:szCs w:val="21"/>
        </w:rPr>
        <w:t xml:space="preserve">in autotutela </w:t>
      </w:r>
      <w:r w:rsidRPr="001F7615">
        <w:rPr>
          <w:rFonts w:ascii="Times New Roman" w:eastAsia="Times New Roman" w:hAnsi="Times New Roman" w:cs="Times New Roman"/>
          <w:sz w:val="21"/>
          <w:szCs w:val="21"/>
        </w:rPr>
        <w:t xml:space="preserve">della Determinazione Direttoriale, recante </w:t>
      </w:r>
      <w:r w:rsidR="00386421" w:rsidRPr="001F7615">
        <w:rPr>
          <w:rFonts w:ascii="Times New Roman" w:eastAsia="Times New Roman" w:hAnsi="Times New Roman" w:cs="Times New Roman"/>
          <w:sz w:val="21"/>
          <w:szCs w:val="21"/>
        </w:rPr>
        <w:t>Prot</w:t>
      </w:r>
      <w:r w:rsidRPr="001F7615">
        <w:rPr>
          <w:rFonts w:ascii="Times New Roman" w:eastAsia="Times New Roman" w:hAnsi="Times New Roman" w:cs="Times New Roman"/>
          <w:sz w:val="21"/>
          <w:szCs w:val="21"/>
        </w:rPr>
        <w:t xml:space="preserve">. n. 307276 dell’8 settembre 2020, con riferimento alle tipologie di gioco non contemplate, e più specificatamente: </w:t>
      </w:r>
    </w:p>
    <w:p w14:paraId="00000031" w14:textId="3B255C31" w:rsidR="00877A6C" w:rsidRPr="001F7615" w:rsidRDefault="00904829" w:rsidP="00782947">
      <w:pPr>
        <w:pStyle w:val="Paragrafoelenco"/>
        <w:widowControl w:val="0"/>
        <w:numPr>
          <w:ilvl w:val="1"/>
          <w:numId w:val="14"/>
        </w:numPr>
        <w:jc w:val="both"/>
        <w:rPr>
          <w:rFonts w:ascii="Times New Roman" w:hAnsi="Times New Roman" w:cs="Times New Roman"/>
          <w:sz w:val="21"/>
          <w:szCs w:val="21"/>
        </w:rPr>
      </w:pPr>
      <w:r w:rsidRPr="001F7615">
        <w:rPr>
          <w:rFonts w:ascii="Times New Roman" w:hAnsi="Times New Roman" w:cs="Times New Roman"/>
          <w:sz w:val="21"/>
          <w:szCs w:val="21"/>
        </w:rPr>
        <w:t xml:space="preserve">concorsi pronostici ippici; </w:t>
      </w:r>
    </w:p>
    <w:p w14:paraId="00000032" w14:textId="60A86D30" w:rsidR="00877A6C" w:rsidRPr="001F7615" w:rsidRDefault="00904829" w:rsidP="00782947">
      <w:pPr>
        <w:pStyle w:val="Paragrafoelenco"/>
        <w:widowControl w:val="0"/>
        <w:numPr>
          <w:ilvl w:val="1"/>
          <w:numId w:val="14"/>
        </w:numPr>
        <w:jc w:val="both"/>
        <w:rPr>
          <w:rFonts w:ascii="Times New Roman" w:hAnsi="Times New Roman" w:cs="Times New Roman"/>
          <w:sz w:val="21"/>
          <w:szCs w:val="21"/>
        </w:rPr>
      </w:pPr>
      <w:r w:rsidRPr="001F7615">
        <w:rPr>
          <w:rFonts w:ascii="Times New Roman" w:hAnsi="Times New Roman" w:cs="Times New Roman"/>
          <w:sz w:val="21"/>
          <w:szCs w:val="21"/>
        </w:rPr>
        <w:t xml:space="preserve">scommesse di ippica nazionale; </w:t>
      </w:r>
    </w:p>
    <w:p w14:paraId="00000033" w14:textId="0B9C341A" w:rsidR="00877A6C" w:rsidRPr="001F7615" w:rsidRDefault="00904829" w:rsidP="00782947">
      <w:pPr>
        <w:pStyle w:val="Paragrafoelenco"/>
        <w:widowControl w:val="0"/>
        <w:numPr>
          <w:ilvl w:val="1"/>
          <w:numId w:val="14"/>
        </w:numPr>
        <w:jc w:val="both"/>
        <w:rPr>
          <w:rFonts w:ascii="Times New Roman" w:hAnsi="Times New Roman" w:cs="Times New Roman"/>
          <w:sz w:val="21"/>
          <w:szCs w:val="21"/>
        </w:rPr>
      </w:pPr>
      <w:r w:rsidRPr="001F7615">
        <w:rPr>
          <w:rFonts w:ascii="Times New Roman" w:hAnsi="Times New Roman" w:cs="Times New Roman"/>
          <w:sz w:val="21"/>
          <w:szCs w:val="21"/>
        </w:rPr>
        <w:t xml:space="preserve">scommesse ippiche a totalizzatore; </w:t>
      </w:r>
    </w:p>
    <w:p w14:paraId="08CBF003" w14:textId="38F467CF" w:rsidR="00782947" w:rsidRPr="001F7615" w:rsidRDefault="00904829" w:rsidP="00782947">
      <w:pPr>
        <w:pStyle w:val="Paragrafoelenco"/>
        <w:widowControl w:val="0"/>
        <w:numPr>
          <w:ilvl w:val="1"/>
          <w:numId w:val="14"/>
        </w:numPr>
        <w:pBdr>
          <w:top w:val="nil"/>
          <w:left w:val="nil"/>
          <w:bottom w:val="nil"/>
          <w:right w:val="nil"/>
          <w:between w:val="nil"/>
        </w:pBdr>
        <w:jc w:val="both"/>
        <w:rPr>
          <w:rFonts w:ascii="Times New Roman" w:hAnsi="Times New Roman" w:cs="Times New Roman"/>
          <w:color w:val="000000"/>
          <w:sz w:val="21"/>
          <w:szCs w:val="21"/>
        </w:rPr>
      </w:pPr>
      <w:r w:rsidRPr="001F7615">
        <w:rPr>
          <w:rFonts w:ascii="Times New Roman" w:hAnsi="Times New Roman" w:cs="Times New Roman"/>
          <w:color w:val="000000"/>
          <w:sz w:val="21"/>
          <w:szCs w:val="21"/>
        </w:rPr>
        <w:t>scommesse ippiche a quota fissa e multiple di riferimento</w:t>
      </w:r>
      <w:r w:rsidR="00782947" w:rsidRPr="001F7615">
        <w:rPr>
          <w:rFonts w:ascii="Times New Roman" w:hAnsi="Times New Roman" w:cs="Times New Roman"/>
          <w:color w:val="000000"/>
          <w:sz w:val="21"/>
          <w:szCs w:val="21"/>
        </w:rPr>
        <w:t>;</w:t>
      </w:r>
    </w:p>
    <w:p w14:paraId="2C4C9BCA" w14:textId="4FF518F9" w:rsidR="00386421" w:rsidRPr="001F7615" w:rsidRDefault="00904829" w:rsidP="00782947">
      <w:pPr>
        <w:pStyle w:val="Paragrafoelenco"/>
        <w:widowControl w:val="0"/>
        <w:numPr>
          <w:ilvl w:val="1"/>
          <w:numId w:val="14"/>
        </w:numPr>
        <w:pBdr>
          <w:top w:val="nil"/>
          <w:left w:val="nil"/>
          <w:bottom w:val="nil"/>
          <w:right w:val="nil"/>
          <w:between w:val="nil"/>
        </w:pBdr>
        <w:spacing w:after="120"/>
        <w:ind w:left="935" w:hanging="357"/>
        <w:contextualSpacing w:val="0"/>
        <w:jc w:val="both"/>
        <w:rPr>
          <w:rFonts w:ascii="Times New Roman" w:hAnsi="Times New Roman" w:cs="Times New Roman"/>
          <w:color w:val="000000"/>
          <w:sz w:val="21"/>
          <w:szCs w:val="21"/>
        </w:rPr>
      </w:pPr>
      <w:r w:rsidRPr="001F7615">
        <w:rPr>
          <w:rFonts w:ascii="Times New Roman" w:hAnsi="Times New Roman" w:cs="Times New Roman"/>
          <w:sz w:val="21"/>
          <w:szCs w:val="21"/>
        </w:rPr>
        <w:t>scommesse a distanza a quota fissa con interazione diretta fra i giocatori;</w:t>
      </w:r>
    </w:p>
    <w:p w14:paraId="29E5F543" w14:textId="5905884E" w:rsidR="00386421" w:rsidRPr="001F7615" w:rsidRDefault="005D17F6" w:rsidP="006F7435">
      <w:pPr>
        <w:pStyle w:val="Paragrafoelenco"/>
        <w:widowControl w:val="0"/>
        <w:numPr>
          <w:ilvl w:val="0"/>
          <w:numId w:val="9"/>
        </w:numPr>
        <w:spacing w:after="120"/>
        <w:ind w:left="284" w:hanging="142"/>
        <w:contextualSpacing w:val="0"/>
        <w:jc w:val="both"/>
        <w:rPr>
          <w:rFonts w:ascii="Times New Roman" w:eastAsia="Times New Roman" w:hAnsi="Times New Roman" w:cs="Times New Roman"/>
          <w:sz w:val="21"/>
          <w:szCs w:val="21"/>
        </w:rPr>
      </w:pPr>
      <w:r w:rsidRPr="001F7615">
        <w:rPr>
          <w:rFonts w:ascii="Times New Roman" w:eastAsia="Times New Roman" w:hAnsi="Times New Roman" w:cs="Times New Roman"/>
          <w:sz w:val="21"/>
          <w:szCs w:val="21"/>
        </w:rPr>
        <w:t xml:space="preserve">la sospensione in autotutela dell’obbligo di corresponsione </w:t>
      </w:r>
      <w:r w:rsidR="00240299" w:rsidRPr="001F7615">
        <w:rPr>
          <w:rFonts w:ascii="Times New Roman" w:eastAsia="Times New Roman" w:hAnsi="Times New Roman" w:cs="Times New Roman"/>
          <w:sz w:val="21"/>
          <w:szCs w:val="21"/>
        </w:rPr>
        <w:t>dell’</w:t>
      </w:r>
      <w:r w:rsidR="00240299" w:rsidRPr="001F7615">
        <w:rPr>
          <w:rFonts w:ascii="Times New Roman" w:hAnsi="Times New Roman" w:cs="Times New Roman"/>
          <w:sz w:val="21"/>
          <w:szCs w:val="21"/>
        </w:rPr>
        <w:t>onere aggiuntivo</w:t>
      </w:r>
      <w:r w:rsidR="00240299" w:rsidRPr="001F7615">
        <w:rPr>
          <w:rFonts w:ascii="Times New Roman" w:eastAsia="Times New Roman" w:hAnsi="Times New Roman" w:cs="Times New Roman"/>
          <w:sz w:val="21"/>
          <w:szCs w:val="21"/>
        </w:rPr>
        <w:t xml:space="preserve"> </w:t>
      </w:r>
      <w:r w:rsidRPr="001F7615">
        <w:rPr>
          <w:rFonts w:ascii="Times New Roman" w:eastAsia="Times New Roman" w:hAnsi="Times New Roman" w:cs="Times New Roman"/>
          <w:sz w:val="21"/>
          <w:szCs w:val="21"/>
        </w:rPr>
        <w:t xml:space="preserve">dal 20 maggio 2020 al 30 settembre 2020; </w:t>
      </w:r>
    </w:p>
    <w:p w14:paraId="00000036" w14:textId="176FE487" w:rsidR="00877A6C" w:rsidRPr="001F7615" w:rsidRDefault="005D17F6" w:rsidP="006F7435">
      <w:pPr>
        <w:pStyle w:val="Paragrafoelenco"/>
        <w:widowControl w:val="0"/>
        <w:numPr>
          <w:ilvl w:val="0"/>
          <w:numId w:val="9"/>
        </w:numPr>
        <w:spacing w:after="120"/>
        <w:ind w:left="284" w:hanging="142"/>
        <w:contextualSpacing w:val="0"/>
        <w:jc w:val="both"/>
        <w:rPr>
          <w:rFonts w:ascii="Times New Roman" w:eastAsia="Times New Roman" w:hAnsi="Times New Roman" w:cs="Times New Roman"/>
          <w:sz w:val="21"/>
          <w:szCs w:val="21"/>
        </w:rPr>
      </w:pPr>
      <w:r w:rsidRPr="001F7615">
        <w:rPr>
          <w:rFonts w:ascii="Times New Roman" w:eastAsia="Times New Roman" w:hAnsi="Times New Roman" w:cs="Times New Roman"/>
          <w:sz w:val="21"/>
          <w:szCs w:val="21"/>
        </w:rPr>
        <w:t>a seguito dell’entrate in vigore del DPCM del 24 ottobre 2020</w:t>
      </w:r>
      <w:r w:rsidR="00EE3A03" w:rsidRPr="001F7615">
        <w:rPr>
          <w:rFonts w:ascii="Times New Roman" w:eastAsia="Times New Roman" w:hAnsi="Times New Roman" w:cs="Times New Roman"/>
          <w:sz w:val="21"/>
          <w:szCs w:val="21"/>
        </w:rPr>
        <w:t xml:space="preserve"> e del DPCM 3 novembre 2020 </w:t>
      </w:r>
      <w:r w:rsidR="00904829" w:rsidRPr="001F7615">
        <w:rPr>
          <w:rFonts w:ascii="Times New Roman" w:eastAsia="Times New Roman" w:hAnsi="Times New Roman" w:cs="Times New Roman"/>
          <w:sz w:val="21"/>
          <w:szCs w:val="21"/>
        </w:rPr>
        <w:t xml:space="preserve">la sospensione </w:t>
      </w:r>
      <w:r w:rsidR="00206126" w:rsidRPr="001F7615">
        <w:rPr>
          <w:rFonts w:ascii="Times New Roman" w:eastAsia="Times New Roman" w:hAnsi="Times New Roman" w:cs="Times New Roman"/>
          <w:sz w:val="21"/>
          <w:szCs w:val="21"/>
        </w:rPr>
        <w:t xml:space="preserve">in autotutela </w:t>
      </w:r>
      <w:r w:rsidR="00904829" w:rsidRPr="001F7615">
        <w:rPr>
          <w:rFonts w:ascii="Times New Roman" w:eastAsia="Times New Roman" w:hAnsi="Times New Roman" w:cs="Times New Roman"/>
          <w:sz w:val="21"/>
          <w:szCs w:val="21"/>
        </w:rPr>
        <w:t xml:space="preserve">dell’obbligo della corresponsione </w:t>
      </w:r>
      <w:r w:rsidR="00227919" w:rsidRPr="001F7615">
        <w:rPr>
          <w:rFonts w:ascii="Times New Roman" w:eastAsia="Times New Roman" w:hAnsi="Times New Roman" w:cs="Times New Roman"/>
          <w:sz w:val="21"/>
          <w:szCs w:val="21"/>
        </w:rPr>
        <w:t>dell’</w:t>
      </w:r>
      <w:r w:rsidR="00227919" w:rsidRPr="001F7615">
        <w:rPr>
          <w:rFonts w:ascii="Times New Roman" w:hAnsi="Times New Roman" w:cs="Times New Roman"/>
          <w:sz w:val="21"/>
          <w:szCs w:val="21"/>
        </w:rPr>
        <w:t>onere aggiuntivo</w:t>
      </w:r>
      <w:r w:rsidR="00227919" w:rsidRPr="001F7615">
        <w:rPr>
          <w:rFonts w:ascii="Times New Roman" w:eastAsia="Times New Roman" w:hAnsi="Times New Roman" w:cs="Times New Roman"/>
          <w:sz w:val="21"/>
          <w:szCs w:val="21"/>
        </w:rPr>
        <w:t xml:space="preserve"> </w:t>
      </w:r>
      <w:r w:rsidR="00904829" w:rsidRPr="001F7615">
        <w:rPr>
          <w:rFonts w:ascii="Times New Roman" w:eastAsia="Times New Roman" w:hAnsi="Times New Roman" w:cs="Times New Roman"/>
          <w:sz w:val="21"/>
          <w:szCs w:val="21"/>
        </w:rPr>
        <w:t xml:space="preserve">dal </w:t>
      </w:r>
      <w:r w:rsidR="003A6AFA" w:rsidRPr="001F7615">
        <w:rPr>
          <w:rFonts w:ascii="Times New Roman" w:eastAsia="Times New Roman" w:hAnsi="Times New Roman" w:cs="Times New Roman"/>
          <w:sz w:val="21"/>
          <w:szCs w:val="21"/>
        </w:rPr>
        <w:t>1° settembre</w:t>
      </w:r>
      <w:r w:rsidR="00904829" w:rsidRPr="001F7615">
        <w:rPr>
          <w:rFonts w:ascii="Times New Roman" w:eastAsia="Times New Roman" w:hAnsi="Times New Roman" w:cs="Times New Roman"/>
          <w:sz w:val="21"/>
          <w:szCs w:val="21"/>
        </w:rPr>
        <w:t xml:space="preserve"> 2020 al 30 dicembre 2020, e comunque fino a quando </w:t>
      </w:r>
      <w:r w:rsidRPr="001F7615">
        <w:rPr>
          <w:rFonts w:ascii="Times New Roman" w:eastAsia="Times New Roman" w:hAnsi="Times New Roman" w:cs="Times New Roman"/>
          <w:sz w:val="21"/>
          <w:szCs w:val="21"/>
        </w:rPr>
        <w:t>tutti i punti di raccolta di gioco pubblico (negozi e corner)</w:t>
      </w:r>
      <w:r w:rsidR="00904829" w:rsidRPr="001F7615">
        <w:rPr>
          <w:rFonts w:ascii="Times New Roman" w:eastAsia="Times New Roman" w:hAnsi="Times New Roman" w:cs="Times New Roman"/>
          <w:sz w:val="21"/>
          <w:szCs w:val="21"/>
        </w:rPr>
        <w:t xml:space="preserve"> non entreranno in esercizio in maniera costante e senza vincoli d’orario, disciplinati dalle singole Regioni. </w:t>
      </w:r>
    </w:p>
    <w:p w14:paraId="00000037" w14:textId="77777777" w:rsidR="00877A6C" w:rsidRPr="001F7615" w:rsidRDefault="00904829" w:rsidP="006F7435">
      <w:pPr>
        <w:widowControl w:val="0"/>
        <w:spacing w:after="120"/>
        <w:jc w:val="center"/>
        <w:rPr>
          <w:sz w:val="21"/>
          <w:szCs w:val="21"/>
        </w:rPr>
      </w:pPr>
      <w:r w:rsidRPr="001F7615">
        <w:rPr>
          <w:b/>
          <w:sz w:val="21"/>
          <w:szCs w:val="21"/>
        </w:rPr>
        <w:t>***</w:t>
      </w:r>
    </w:p>
    <w:p w14:paraId="00000038" w14:textId="77777777" w:rsidR="00877A6C" w:rsidRPr="001F7615" w:rsidRDefault="00904829" w:rsidP="006F7435">
      <w:pPr>
        <w:widowControl w:val="0"/>
        <w:spacing w:after="120"/>
        <w:ind w:left="450" w:hanging="450"/>
        <w:jc w:val="both"/>
        <w:rPr>
          <w:sz w:val="21"/>
          <w:szCs w:val="21"/>
        </w:rPr>
      </w:pPr>
      <w:r w:rsidRPr="001F7615">
        <w:rPr>
          <w:sz w:val="21"/>
          <w:szCs w:val="21"/>
        </w:rPr>
        <w:t>Con riserva di tutelare le proprie ragioni nelle sedi opportune</w:t>
      </w:r>
    </w:p>
    <w:p w14:paraId="00000039" w14:textId="77777777" w:rsidR="00877A6C" w:rsidRPr="001F7615" w:rsidRDefault="00904829" w:rsidP="006F7435">
      <w:pPr>
        <w:widowControl w:val="0"/>
        <w:spacing w:after="120"/>
        <w:ind w:left="450" w:hanging="450"/>
        <w:jc w:val="both"/>
        <w:rPr>
          <w:sz w:val="21"/>
          <w:szCs w:val="21"/>
        </w:rPr>
      </w:pPr>
      <w:r w:rsidRPr="001F7615">
        <w:rPr>
          <w:sz w:val="21"/>
          <w:szCs w:val="21"/>
        </w:rPr>
        <w:t xml:space="preserve">Cordiali saluti </w:t>
      </w:r>
    </w:p>
    <w:p w14:paraId="0000003A" w14:textId="77777777" w:rsidR="00877A6C" w:rsidRPr="001F7615" w:rsidRDefault="00877A6C" w:rsidP="006F7435">
      <w:pPr>
        <w:widowControl w:val="0"/>
        <w:spacing w:after="120"/>
        <w:jc w:val="both"/>
        <w:rPr>
          <w:sz w:val="21"/>
          <w:szCs w:val="21"/>
        </w:rPr>
      </w:pPr>
    </w:p>
    <w:p w14:paraId="526C618F" w14:textId="77777777" w:rsidR="00386421" w:rsidRPr="001F7615" w:rsidRDefault="00386421" w:rsidP="006F7435">
      <w:pPr>
        <w:widowControl w:val="0"/>
        <w:spacing w:after="120"/>
        <w:ind w:left="450" w:hanging="450"/>
        <w:jc w:val="center"/>
        <w:rPr>
          <w:sz w:val="21"/>
          <w:szCs w:val="21"/>
        </w:rPr>
      </w:pPr>
      <w:r w:rsidRPr="001F7615">
        <w:rPr>
          <w:sz w:val="21"/>
          <w:szCs w:val="21"/>
          <w:highlight w:val="yellow"/>
        </w:rPr>
        <w:t>&lt;_&gt;</w:t>
      </w:r>
    </w:p>
    <w:p w14:paraId="0000003C" w14:textId="46F2246E" w:rsidR="00877A6C" w:rsidRPr="001F7615" w:rsidRDefault="00386421" w:rsidP="006F7435">
      <w:pPr>
        <w:widowControl w:val="0"/>
        <w:spacing w:after="120"/>
        <w:ind w:left="450" w:hanging="450"/>
        <w:jc w:val="center"/>
        <w:rPr>
          <w:sz w:val="21"/>
          <w:szCs w:val="21"/>
        </w:rPr>
      </w:pPr>
      <w:r w:rsidRPr="001F7615">
        <w:rPr>
          <w:sz w:val="21"/>
          <w:szCs w:val="21"/>
        </w:rPr>
        <w:t>Rappresentante</w:t>
      </w:r>
      <w:r w:rsidR="00904829" w:rsidRPr="001F7615">
        <w:rPr>
          <w:sz w:val="21"/>
          <w:szCs w:val="21"/>
        </w:rPr>
        <w:t xml:space="preserve"> legale</w:t>
      </w:r>
    </w:p>
    <w:p w14:paraId="0000003D" w14:textId="77777777" w:rsidR="00877A6C" w:rsidRPr="001F7615" w:rsidRDefault="00877A6C" w:rsidP="006F7435">
      <w:pPr>
        <w:widowControl w:val="0"/>
        <w:spacing w:after="120"/>
        <w:ind w:left="450" w:hanging="450"/>
        <w:jc w:val="both"/>
        <w:rPr>
          <w:sz w:val="21"/>
          <w:szCs w:val="21"/>
        </w:rPr>
      </w:pPr>
    </w:p>
    <w:p w14:paraId="0000003E" w14:textId="77777777" w:rsidR="00877A6C" w:rsidRPr="001F7615" w:rsidRDefault="00877A6C" w:rsidP="006F7435">
      <w:pPr>
        <w:widowControl w:val="0"/>
        <w:spacing w:after="120"/>
        <w:ind w:left="450" w:hanging="450"/>
        <w:jc w:val="both"/>
        <w:rPr>
          <w:sz w:val="21"/>
          <w:szCs w:val="21"/>
        </w:rPr>
      </w:pPr>
    </w:p>
    <w:p w14:paraId="0000003F" w14:textId="77777777" w:rsidR="00877A6C" w:rsidRPr="001F7615" w:rsidRDefault="00877A6C" w:rsidP="006F7435">
      <w:pPr>
        <w:tabs>
          <w:tab w:val="left" w:pos="1985"/>
        </w:tabs>
        <w:spacing w:after="120"/>
        <w:ind w:left="450" w:hanging="450"/>
        <w:jc w:val="center"/>
        <w:rPr>
          <w:sz w:val="21"/>
          <w:szCs w:val="21"/>
        </w:rPr>
      </w:pPr>
    </w:p>
    <w:sectPr w:rsidR="00877A6C" w:rsidRPr="001F7615" w:rsidSect="00412E7D">
      <w:pgSz w:w="11900" w:h="16840"/>
      <w:pgMar w:top="1417" w:right="1134" w:bottom="1134" w:left="156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F931B" w14:textId="77777777" w:rsidR="0052626A" w:rsidRDefault="0052626A">
      <w:r>
        <w:separator/>
      </w:r>
    </w:p>
  </w:endnote>
  <w:endnote w:type="continuationSeparator" w:id="0">
    <w:p w14:paraId="647449D6" w14:textId="77777777" w:rsidR="0052626A" w:rsidRDefault="0052626A">
      <w:r>
        <w:continuationSeparator/>
      </w:r>
    </w:p>
  </w:endnote>
  <w:endnote w:type="continuationNotice" w:id="1">
    <w:p w14:paraId="58B37154" w14:textId="77777777" w:rsidR="0052626A" w:rsidRDefault="00526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C2C81" w14:textId="77777777" w:rsidR="0052626A" w:rsidRDefault="0052626A">
      <w:r>
        <w:separator/>
      </w:r>
    </w:p>
  </w:footnote>
  <w:footnote w:type="continuationSeparator" w:id="0">
    <w:p w14:paraId="2532E7D2" w14:textId="77777777" w:rsidR="0052626A" w:rsidRDefault="0052626A">
      <w:r>
        <w:continuationSeparator/>
      </w:r>
    </w:p>
  </w:footnote>
  <w:footnote w:type="continuationNotice" w:id="1">
    <w:p w14:paraId="2B6AAB41" w14:textId="77777777" w:rsidR="0052626A" w:rsidRDefault="0052626A"/>
  </w:footnote>
  <w:footnote w:id="2">
    <w:p w14:paraId="00000043" w14:textId="7647FE03" w:rsidR="00877A6C" w:rsidRPr="00386421" w:rsidRDefault="0090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386421">
        <w:rPr>
          <w:b/>
          <w:bCs/>
          <w:sz w:val="20"/>
          <w:szCs w:val="20"/>
          <w:vertAlign w:val="superscript"/>
        </w:rPr>
        <w:footnoteRef/>
      </w:r>
      <w:r w:rsidRPr="00386421">
        <w:rPr>
          <w:sz w:val="16"/>
          <w:szCs w:val="16"/>
          <w:vertAlign w:val="superscript"/>
        </w:rPr>
        <w:t xml:space="preserve"> </w:t>
      </w:r>
      <w:r w:rsidRPr="00386421">
        <w:rPr>
          <w:rFonts w:eastAsia="Courier"/>
          <w:sz w:val="16"/>
          <w:szCs w:val="16"/>
        </w:rPr>
        <w:t>“</w:t>
      </w:r>
      <w:r w:rsidRPr="00386421">
        <w:rPr>
          <w:sz w:val="16"/>
          <w:szCs w:val="16"/>
        </w:rPr>
        <w:t xml:space="preserve">1. Al fine di far fronte alla crisi economica dei soggetti operanti nel settore sportivo determinatasi in ragione delle misure in materia di contenimento e gestione dell'emergenza epidemiologica da COVID-19, </w:t>
      </w:r>
      <w:proofErr w:type="spellStart"/>
      <w:r w:rsidRPr="00386421">
        <w:rPr>
          <w:sz w:val="16"/>
          <w:szCs w:val="16"/>
        </w:rPr>
        <w:t>e'</w:t>
      </w:r>
      <w:proofErr w:type="spellEnd"/>
      <w:r w:rsidRPr="00386421">
        <w:rPr>
          <w:sz w:val="16"/>
          <w:szCs w:val="16"/>
        </w:rPr>
        <w:t xml:space="preserve"> istituito nello stato di previsione del Ministero dell'economia  e delle  finanze  il  «Fondo  per  il  rilancio  del  sistema  sportivo nazionale» le cui risorse, come definite dal comma 2, sono trasferite al bilancio autonomo della Presidenza del Consiglio dei ministri, per essere assegnate all'Ufficio per lo sport per l'adozione di misure di sostegno e di ripresa del movimento sportivo.    2. Dalla data di entrata in vigore del presente decreto e  sino  al 31 dicembre 2021, una quota pari allo 0,5 per cento del  totale  della raccolta da scommesse relative a  eventi  sportivi  di  ogni  genere, anche  in  formato  virtuale,  effettuate  in  qualsiasi  modo  e  su qualsiasi mezzo, sia on-line, sia tramite canali  tradizionali,  come determinata con cadenza  quadrimestrale  dall'ente  incaricato  dallo Stato, al netto della quota riferita  all'imposta  unica  di  cui  al decreto  legislativo  23  dicembre   1998,   n.504,   viene   versata all'entrata del bilancio dello Stato e resta acquisita all'erario. Il finanziamento del Fondo di cui al comma 1 </w:t>
      </w:r>
      <w:r w:rsidR="0007277D" w:rsidRPr="00386421">
        <w:rPr>
          <w:sz w:val="16"/>
          <w:szCs w:val="16"/>
        </w:rPr>
        <w:t>è</w:t>
      </w:r>
      <w:r w:rsidRPr="00386421">
        <w:rPr>
          <w:sz w:val="16"/>
          <w:szCs w:val="16"/>
        </w:rPr>
        <w:t xml:space="preserve"> determinato nel limite massimo di 40 milioni di euro per l'anno 2020 e </w:t>
      </w:r>
      <w:r w:rsidR="0007277D" w:rsidRPr="00386421">
        <w:rPr>
          <w:sz w:val="16"/>
          <w:szCs w:val="16"/>
        </w:rPr>
        <w:t>50 milioni di euro</w:t>
      </w:r>
      <w:r w:rsidRPr="00386421">
        <w:rPr>
          <w:sz w:val="16"/>
          <w:szCs w:val="16"/>
        </w:rPr>
        <w:t xml:space="preserve"> per l'anno 2021. Qualora, negli anni 2020 e </w:t>
      </w:r>
      <w:r w:rsidR="0007277D" w:rsidRPr="00386421">
        <w:rPr>
          <w:sz w:val="16"/>
          <w:szCs w:val="16"/>
        </w:rPr>
        <w:t xml:space="preserve">2021, </w:t>
      </w:r>
      <w:proofErr w:type="gramStart"/>
      <w:r w:rsidR="0007277D" w:rsidRPr="00386421">
        <w:rPr>
          <w:sz w:val="16"/>
          <w:szCs w:val="16"/>
        </w:rPr>
        <w:t>l’ammontare</w:t>
      </w:r>
      <w:r w:rsidRPr="00386421">
        <w:rPr>
          <w:sz w:val="16"/>
          <w:szCs w:val="16"/>
        </w:rPr>
        <w:t xml:space="preserve">  delle</w:t>
      </w:r>
      <w:proofErr w:type="gramEnd"/>
      <w:r w:rsidRPr="00386421">
        <w:rPr>
          <w:sz w:val="16"/>
          <w:szCs w:val="16"/>
        </w:rPr>
        <w:t xml:space="preserve"> entrate corrispondenti alla percentuale di cui al presente comma  sia inferiore alle somme iscritte  nel  Fondo  ai  sensi  del  precedente periodo, </w:t>
      </w:r>
      <w:r w:rsidR="0007277D" w:rsidRPr="00386421">
        <w:rPr>
          <w:sz w:val="16"/>
          <w:szCs w:val="16"/>
        </w:rPr>
        <w:t>è</w:t>
      </w:r>
      <w:r w:rsidRPr="00386421">
        <w:rPr>
          <w:sz w:val="16"/>
          <w:szCs w:val="16"/>
        </w:rPr>
        <w:t xml:space="preserve"> corrispondentemente ridotta la quota di cui  all'articolo 1, comma 630 della legge 30 dicembre 2018, n.145.    3. Con decreto dell'Autorità' </w:t>
      </w:r>
      <w:r w:rsidR="0007277D" w:rsidRPr="00386421">
        <w:rPr>
          <w:sz w:val="16"/>
          <w:szCs w:val="16"/>
        </w:rPr>
        <w:t xml:space="preserve">delegata </w:t>
      </w:r>
      <w:proofErr w:type="gramStart"/>
      <w:r w:rsidR="0007277D" w:rsidRPr="00386421">
        <w:rPr>
          <w:sz w:val="16"/>
          <w:szCs w:val="16"/>
        </w:rPr>
        <w:t>in</w:t>
      </w:r>
      <w:r w:rsidRPr="00386421">
        <w:rPr>
          <w:sz w:val="16"/>
          <w:szCs w:val="16"/>
        </w:rPr>
        <w:t xml:space="preserve">  materia</w:t>
      </w:r>
      <w:proofErr w:type="gramEnd"/>
      <w:r w:rsidRPr="00386421">
        <w:rPr>
          <w:sz w:val="16"/>
          <w:szCs w:val="16"/>
        </w:rPr>
        <w:t xml:space="preserve">  di  sport,  di concerto con il Ministro dell'Economia e delle Finanze,  da  adottare entro 10 giorni dalla data di entrata in vigore del presente decreto, sono individuati i criteri di gestione del  Fondo  di  cui  ai  commi precedenti.” </w:t>
      </w:r>
    </w:p>
    <w:p w14:paraId="00000044" w14:textId="77777777" w:rsidR="00877A6C" w:rsidRDefault="00877A6C">
      <w:pPr>
        <w:rPr>
          <w:sz w:val="18"/>
          <w:szCs w:val="18"/>
        </w:rPr>
      </w:pPr>
    </w:p>
  </w:footnote>
  <w:footnote w:id="3">
    <w:p w14:paraId="52AAAC78" w14:textId="0AA38094" w:rsidR="005D17F6" w:rsidRPr="00386421" w:rsidRDefault="005D17F6" w:rsidP="00386421">
      <w:pPr>
        <w:jc w:val="both"/>
        <w:rPr>
          <w:sz w:val="20"/>
          <w:szCs w:val="20"/>
        </w:rPr>
      </w:pPr>
      <w:r w:rsidRPr="00386421">
        <w:rPr>
          <w:b/>
          <w:bCs/>
          <w:sz w:val="20"/>
          <w:szCs w:val="20"/>
          <w:vertAlign w:val="superscript"/>
        </w:rPr>
        <w:footnoteRef/>
      </w:r>
      <w:r w:rsidRPr="00386421">
        <w:rPr>
          <w:sz w:val="20"/>
          <w:szCs w:val="20"/>
        </w:rPr>
        <w:t xml:space="preserve"> </w:t>
      </w:r>
      <w:r w:rsidRPr="00386421">
        <w:rPr>
          <w:sz w:val="16"/>
          <w:szCs w:val="16"/>
        </w:rPr>
        <w:t>Art. 1, comma 9, lett</w:t>
      </w:r>
      <w:r w:rsidR="00386421" w:rsidRPr="00386421">
        <w:rPr>
          <w:sz w:val="16"/>
          <w:szCs w:val="16"/>
        </w:rPr>
        <w:t>.</w:t>
      </w:r>
      <w:r w:rsidRPr="00386421">
        <w:rPr>
          <w:sz w:val="16"/>
          <w:szCs w:val="16"/>
        </w:rPr>
        <w:t xml:space="preserve"> l</w:t>
      </w:r>
      <w:r w:rsidR="00C0668F" w:rsidRPr="00386421">
        <w:rPr>
          <w:sz w:val="16"/>
          <w:szCs w:val="16"/>
        </w:rPr>
        <w:t xml:space="preserve">) </w:t>
      </w:r>
      <w:r w:rsidRPr="00386421">
        <w:rPr>
          <w:sz w:val="16"/>
          <w:szCs w:val="16"/>
        </w:rPr>
        <w:t>“</w:t>
      </w:r>
      <w:r w:rsidRPr="00386421">
        <w:rPr>
          <w:i/>
          <w:iCs/>
          <w:sz w:val="16"/>
          <w:szCs w:val="16"/>
        </w:rPr>
        <w:t xml:space="preserve">sono sospese le </w:t>
      </w:r>
      <w:r w:rsidR="00386421" w:rsidRPr="00386421">
        <w:rPr>
          <w:i/>
          <w:iCs/>
          <w:sz w:val="16"/>
          <w:szCs w:val="16"/>
        </w:rPr>
        <w:t>attività</w:t>
      </w:r>
      <w:r w:rsidRPr="00386421">
        <w:rPr>
          <w:i/>
          <w:iCs/>
          <w:sz w:val="16"/>
          <w:szCs w:val="16"/>
        </w:rPr>
        <w:t>̀ di sale giochi, sale scommesse, sale bingo e casinò</w:t>
      </w:r>
      <w:r w:rsidRPr="00386421">
        <w:rPr>
          <w:sz w:val="16"/>
          <w:szCs w:val="16"/>
        </w:rPr>
        <w:t>”</w:t>
      </w:r>
      <w:r w:rsidRPr="00386421">
        <w:rPr>
          <w:sz w:val="20"/>
          <w:szCs w:val="20"/>
        </w:rPr>
        <w:t xml:space="preserve"> </w:t>
      </w:r>
    </w:p>
  </w:footnote>
  <w:footnote w:id="4">
    <w:p w14:paraId="4AF7AABA" w14:textId="39E6632D" w:rsidR="008423A0" w:rsidRPr="00386421" w:rsidRDefault="00514CEA" w:rsidP="00386421">
      <w:pPr>
        <w:pStyle w:val="PreformattatoHTML"/>
        <w:jc w:val="both"/>
        <w:rPr>
          <w:rFonts w:ascii="Times New Roman" w:eastAsia="Times New Roman" w:hAnsi="Times New Roman" w:cs="Times New Roman"/>
          <w:color w:val="444444"/>
          <w:sz w:val="16"/>
          <w:szCs w:val="16"/>
        </w:rPr>
      </w:pPr>
      <w:r w:rsidRPr="00386421">
        <w:rPr>
          <w:rStyle w:val="Rimandonotaapidipagina"/>
          <w:rFonts w:ascii="Times New Roman" w:hAnsi="Times New Roman" w:cs="Times New Roman"/>
          <w:b/>
          <w:bCs/>
        </w:rPr>
        <w:footnoteRef/>
      </w:r>
      <w:r w:rsidRPr="00386421">
        <w:rPr>
          <w:rFonts w:ascii="Times New Roman" w:hAnsi="Times New Roman" w:cs="Times New Roman"/>
        </w:rPr>
        <w:t xml:space="preserve"> </w:t>
      </w:r>
      <w:r w:rsidRPr="00386421">
        <w:rPr>
          <w:rFonts w:ascii="Times New Roman" w:hAnsi="Times New Roman" w:cs="Times New Roman"/>
          <w:sz w:val="16"/>
          <w:szCs w:val="16"/>
        </w:rPr>
        <w:t>Art. 1, comma</w:t>
      </w:r>
      <w:r w:rsidR="008423A0" w:rsidRPr="00386421">
        <w:rPr>
          <w:rFonts w:ascii="Times New Roman" w:hAnsi="Times New Roman" w:cs="Times New Roman"/>
          <w:sz w:val="16"/>
          <w:szCs w:val="16"/>
        </w:rPr>
        <w:t xml:space="preserve"> 9 </w:t>
      </w:r>
      <w:r w:rsidRPr="00386421">
        <w:rPr>
          <w:rFonts w:ascii="Times New Roman" w:hAnsi="Times New Roman" w:cs="Times New Roman"/>
          <w:sz w:val="16"/>
          <w:szCs w:val="16"/>
        </w:rPr>
        <w:t>lettera</w:t>
      </w:r>
      <w:r w:rsidR="008423A0" w:rsidRPr="00386421">
        <w:rPr>
          <w:rFonts w:ascii="Times New Roman" w:hAnsi="Times New Roman" w:cs="Times New Roman"/>
          <w:sz w:val="16"/>
          <w:szCs w:val="16"/>
        </w:rPr>
        <w:t xml:space="preserve"> l) “</w:t>
      </w:r>
      <w:r w:rsidR="008423A0" w:rsidRPr="00386421">
        <w:rPr>
          <w:rFonts w:ascii="Times New Roman" w:eastAsia="Times New Roman" w:hAnsi="Times New Roman" w:cs="Times New Roman"/>
          <w:i/>
          <w:iCs/>
          <w:color w:val="444444"/>
          <w:sz w:val="16"/>
          <w:szCs w:val="16"/>
        </w:rPr>
        <w:t xml:space="preserve">sono sospese le </w:t>
      </w:r>
      <w:r w:rsidR="00386421" w:rsidRPr="00386421">
        <w:rPr>
          <w:rFonts w:ascii="Times New Roman" w:eastAsia="Times New Roman" w:hAnsi="Times New Roman" w:cs="Times New Roman"/>
          <w:i/>
          <w:iCs/>
          <w:color w:val="444444"/>
          <w:sz w:val="16"/>
          <w:szCs w:val="16"/>
        </w:rPr>
        <w:t>attività</w:t>
      </w:r>
      <w:r w:rsidR="008423A0" w:rsidRPr="00386421">
        <w:rPr>
          <w:rFonts w:ascii="Times New Roman" w:eastAsia="Times New Roman" w:hAnsi="Times New Roman" w:cs="Times New Roman"/>
          <w:i/>
          <w:iCs/>
          <w:color w:val="444444"/>
          <w:sz w:val="16"/>
          <w:szCs w:val="16"/>
        </w:rPr>
        <w:t xml:space="preserve"> di sale giochi, sale scommesse, sale bingo e </w:t>
      </w:r>
      <w:r w:rsidR="00386421" w:rsidRPr="00386421">
        <w:rPr>
          <w:rFonts w:ascii="Times New Roman" w:eastAsia="Times New Roman" w:hAnsi="Times New Roman" w:cs="Times New Roman"/>
          <w:i/>
          <w:iCs/>
          <w:color w:val="444444"/>
          <w:sz w:val="16"/>
          <w:szCs w:val="16"/>
        </w:rPr>
        <w:t>casinò</w:t>
      </w:r>
      <w:r w:rsidR="008423A0" w:rsidRPr="00386421">
        <w:rPr>
          <w:rFonts w:ascii="Times New Roman" w:eastAsia="Times New Roman" w:hAnsi="Times New Roman" w:cs="Times New Roman"/>
          <w:i/>
          <w:iCs/>
          <w:color w:val="444444"/>
          <w:sz w:val="16"/>
          <w:szCs w:val="16"/>
        </w:rPr>
        <w:t xml:space="preserve">, anche se svolte all'interno di locali adibiti ad </w:t>
      </w:r>
      <w:r w:rsidR="00386421" w:rsidRPr="00386421">
        <w:rPr>
          <w:rFonts w:ascii="Times New Roman" w:eastAsia="Times New Roman" w:hAnsi="Times New Roman" w:cs="Times New Roman"/>
          <w:i/>
          <w:iCs/>
          <w:color w:val="444444"/>
          <w:sz w:val="16"/>
          <w:szCs w:val="16"/>
        </w:rPr>
        <w:t>attività</w:t>
      </w:r>
      <w:r w:rsidR="008423A0" w:rsidRPr="00386421">
        <w:rPr>
          <w:rFonts w:ascii="Times New Roman" w:eastAsia="Times New Roman" w:hAnsi="Times New Roman" w:cs="Times New Roman"/>
          <w:i/>
          <w:iCs/>
          <w:color w:val="444444"/>
          <w:sz w:val="16"/>
          <w:szCs w:val="16"/>
        </w:rPr>
        <w:t xml:space="preserve"> differente</w:t>
      </w:r>
      <w:r w:rsidR="008423A0" w:rsidRPr="00386421">
        <w:rPr>
          <w:rFonts w:ascii="Times New Roman" w:eastAsia="Times New Roman" w:hAnsi="Times New Roman" w:cs="Times New Roman"/>
          <w:color w:val="444444"/>
          <w:sz w:val="16"/>
          <w:szCs w:val="16"/>
        </w:rPr>
        <w:t>”</w:t>
      </w:r>
    </w:p>
    <w:p w14:paraId="3561C8C6" w14:textId="1A5D6DB3" w:rsidR="00514CEA" w:rsidRPr="0007277D" w:rsidRDefault="00514CEA">
      <w:pPr>
        <w:pStyle w:val="Testonotaapidipagina"/>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04E"/>
    <w:multiLevelType w:val="hybridMultilevel"/>
    <w:tmpl w:val="3A96D564"/>
    <w:lvl w:ilvl="0" w:tplc="0410001B">
      <w:start w:val="1"/>
      <w:numFmt w:val="lowerRoman"/>
      <w:lvlText w:val="%1."/>
      <w:lvlJc w:val="right"/>
      <w:pPr>
        <w:ind w:left="218" w:hanging="360"/>
      </w:pPr>
    </w:lvl>
    <w:lvl w:ilvl="1" w:tplc="0CA8D0D8">
      <w:start w:val="1"/>
      <w:numFmt w:val="decimal"/>
      <w:lvlText w:val="%2."/>
      <w:lvlJc w:val="left"/>
      <w:pPr>
        <w:ind w:left="938" w:hanging="360"/>
      </w:pPr>
      <w:rPr>
        <w:rFonts w:ascii="Times New Roman" w:hAnsi="Times New Roman" w:cs="Times New Roman" w:hint="default"/>
      </w:rPr>
    </w:lvl>
    <w:lvl w:ilvl="2" w:tplc="7662F5FE">
      <w:start w:val="1"/>
      <w:numFmt w:val="decimal"/>
      <w:lvlText w:val="%3)"/>
      <w:lvlJc w:val="left"/>
      <w:pPr>
        <w:ind w:left="1938" w:hanging="460"/>
      </w:pPr>
      <w:rPr>
        <w:rFonts w:hint="default"/>
      </w:r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 w15:restartNumberingAfterBreak="0">
    <w:nsid w:val="058A23D9"/>
    <w:multiLevelType w:val="multilevel"/>
    <w:tmpl w:val="D6588AA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A9035F"/>
    <w:multiLevelType w:val="multilevel"/>
    <w:tmpl w:val="276244EA"/>
    <w:lvl w:ilvl="0">
      <w:start w:val="1"/>
      <w:numFmt w:val="lowerLetter"/>
      <w:lvlText w:val="%1)"/>
      <w:lvlJc w:val="left"/>
      <w:pPr>
        <w:ind w:left="960" w:hanging="6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CE33C5"/>
    <w:multiLevelType w:val="multilevel"/>
    <w:tmpl w:val="81CCF092"/>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 w15:restartNumberingAfterBreak="0">
    <w:nsid w:val="26036F99"/>
    <w:multiLevelType w:val="hybridMultilevel"/>
    <w:tmpl w:val="FB268C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BE709C"/>
    <w:multiLevelType w:val="hybridMultilevel"/>
    <w:tmpl w:val="D876C85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CA62421"/>
    <w:multiLevelType w:val="multilevel"/>
    <w:tmpl w:val="43269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DD465C"/>
    <w:multiLevelType w:val="hybridMultilevel"/>
    <w:tmpl w:val="0BC4D566"/>
    <w:lvl w:ilvl="0" w:tplc="04100017">
      <w:start w:val="6"/>
      <w:numFmt w:val="lowerLetter"/>
      <w:lvlText w:val="%1)"/>
      <w:lvlJc w:val="left"/>
      <w:pPr>
        <w:ind w:left="360" w:hanging="360"/>
      </w:pPr>
      <w:rPr>
        <w:rFonts w:hint="default"/>
      </w:rPr>
    </w:lvl>
    <w:lvl w:ilvl="1" w:tplc="49BC16F2">
      <w:start w:val="1"/>
      <w:numFmt w:val="upperRoman"/>
      <w:lvlText w:val="%2)"/>
      <w:lvlJc w:val="left"/>
      <w:pPr>
        <w:ind w:left="1440" w:hanging="72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2C671BD"/>
    <w:multiLevelType w:val="hybridMultilevel"/>
    <w:tmpl w:val="469C3220"/>
    <w:lvl w:ilvl="0" w:tplc="0410001B">
      <w:start w:val="1"/>
      <w:numFmt w:val="lowerRoman"/>
      <w:lvlText w:val="%1."/>
      <w:lvlJc w:val="right"/>
      <w:pPr>
        <w:ind w:left="218" w:hanging="360"/>
      </w:pPr>
    </w:lvl>
    <w:lvl w:ilvl="1" w:tplc="04100019">
      <w:start w:val="1"/>
      <w:numFmt w:val="lowerLetter"/>
      <w:lvlText w:val="%2."/>
      <w:lvlJc w:val="left"/>
      <w:pPr>
        <w:ind w:left="938" w:hanging="360"/>
      </w:pPr>
    </w:lvl>
    <w:lvl w:ilvl="2" w:tplc="7662F5FE">
      <w:start w:val="1"/>
      <w:numFmt w:val="decimal"/>
      <w:lvlText w:val="%3)"/>
      <w:lvlJc w:val="left"/>
      <w:pPr>
        <w:ind w:left="1938" w:hanging="460"/>
      </w:pPr>
      <w:rPr>
        <w:rFonts w:hint="default"/>
      </w:r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9" w15:restartNumberingAfterBreak="0">
    <w:nsid w:val="46090DC1"/>
    <w:multiLevelType w:val="hybridMultilevel"/>
    <w:tmpl w:val="BD528A9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8745B4E"/>
    <w:multiLevelType w:val="hybridMultilevel"/>
    <w:tmpl w:val="C766384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6A37C39"/>
    <w:multiLevelType w:val="multilevel"/>
    <w:tmpl w:val="E7623396"/>
    <w:lvl w:ilvl="0">
      <w:start w:val="1"/>
      <w:numFmt w:val="bullet"/>
      <w:lvlText w:val=""/>
      <w:lvlJc w:val="left"/>
      <w:pPr>
        <w:ind w:left="700" w:hanging="360"/>
      </w:pPr>
      <w:rPr>
        <w:rFonts w:ascii="Symbol" w:hAnsi="Symbol" w:hint="default"/>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2" w15:restartNumberingAfterBreak="0">
    <w:nsid w:val="594D335A"/>
    <w:multiLevelType w:val="multilevel"/>
    <w:tmpl w:val="7E2869F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3" w15:restartNumberingAfterBreak="0">
    <w:nsid w:val="5AC75634"/>
    <w:multiLevelType w:val="multilevel"/>
    <w:tmpl w:val="977E4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1"/>
  </w:num>
  <w:num w:numId="3">
    <w:abstractNumId w:val="13"/>
  </w:num>
  <w:num w:numId="4">
    <w:abstractNumId w:val="2"/>
  </w:num>
  <w:num w:numId="5">
    <w:abstractNumId w:val="6"/>
  </w:num>
  <w:num w:numId="6">
    <w:abstractNumId w:val="10"/>
  </w:num>
  <w:num w:numId="7">
    <w:abstractNumId w:val="5"/>
  </w:num>
  <w:num w:numId="8">
    <w:abstractNumId w:val="7"/>
  </w:num>
  <w:num w:numId="9">
    <w:abstractNumId w:val="8"/>
  </w:num>
  <w:num w:numId="10">
    <w:abstractNumId w:val="4"/>
  </w:num>
  <w:num w:numId="11">
    <w:abstractNumId w:val="9"/>
  </w:num>
  <w:num w:numId="12">
    <w:abstractNumId w:val="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6C"/>
    <w:rsid w:val="0000371E"/>
    <w:rsid w:val="0007277D"/>
    <w:rsid w:val="000D35D0"/>
    <w:rsid w:val="001F7615"/>
    <w:rsid w:val="00206126"/>
    <w:rsid w:val="00210845"/>
    <w:rsid w:val="00227919"/>
    <w:rsid w:val="00240299"/>
    <w:rsid w:val="00281151"/>
    <w:rsid w:val="00314221"/>
    <w:rsid w:val="00386421"/>
    <w:rsid w:val="003A6AFA"/>
    <w:rsid w:val="003F0C8F"/>
    <w:rsid w:val="00406F6D"/>
    <w:rsid w:val="00412E7D"/>
    <w:rsid w:val="00514CEA"/>
    <w:rsid w:val="0052626A"/>
    <w:rsid w:val="005D17F6"/>
    <w:rsid w:val="00645A45"/>
    <w:rsid w:val="006F7435"/>
    <w:rsid w:val="00711E0B"/>
    <w:rsid w:val="00726FF7"/>
    <w:rsid w:val="00782947"/>
    <w:rsid w:val="00785FAE"/>
    <w:rsid w:val="008423A0"/>
    <w:rsid w:val="00877A6C"/>
    <w:rsid w:val="00904829"/>
    <w:rsid w:val="00947BEA"/>
    <w:rsid w:val="009B1EC4"/>
    <w:rsid w:val="009E0CEB"/>
    <w:rsid w:val="00AA2815"/>
    <w:rsid w:val="00B31CFF"/>
    <w:rsid w:val="00B95D08"/>
    <w:rsid w:val="00C0668F"/>
    <w:rsid w:val="00D77C80"/>
    <w:rsid w:val="00DE4A71"/>
    <w:rsid w:val="00DF110E"/>
    <w:rsid w:val="00E55FA2"/>
    <w:rsid w:val="00E726FA"/>
    <w:rsid w:val="00EE3A03"/>
    <w:rsid w:val="00FC6ECC"/>
    <w:rsid w:val="00FD06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18393"/>
  <w15:docId w15:val="{6CCD00C0-EBB9-5E45-AAB0-F4CB015E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2815"/>
    <w:rPr>
      <w:rFonts w:ascii="Times New Roman" w:eastAsia="Times New Roman" w:hAnsi="Times New Roman" w:cs="Times New Roman"/>
    </w:rPr>
  </w:style>
  <w:style w:type="paragraph" w:styleId="Titolo1">
    <w:name w:val="heading 1"/>
    <w:basedOn w:val="Normale"/>
    <w:next w:val="Normale"/>
    <w:uiPriority w:val="9"/>
    <w:qFormat/>
    <w:pPr>
      <w:keepNext/>
      <w:keepLines/>
      <w:spacing w:before="480" w:after="120"/>
      <w:outlineLvl w:val="0"/>
    </w:pPr>
    <w:rPr>
      <w:rFonts w:ascii="Cambria" w:eastAsia="Cambria" w:hAnsi="Cambria" w:cs="Cambria"/>
      <w:b/>
      <w:sz w:val="48"/>
      <w:szCs w:val="48"/>
    </w:rPr>
  </w:style>
  <w:style w:type="paragraph" w:styleId="Titolo2">
    <w:name w:val="heading 2"/>
    <w:basedOn w:val="Normale"/>
    <w:next w:val="Normale"/>
    <w:uiPriority w:val="9"/>
    <w:semiHidden/>
    <w:unhideWhenUsed/>
    <w:qFormat/>
    <w:pPr>
      <w:keepNext/>
      <w:keepLines/>
      <w:spacing w:before="360" w:after="80"/>
      <w:outlineLvl w:val="1"/>
    </w:pPr>
    <w:rPr>
      <w:rFonts w:ascii="Cambria" w:eastAsia="Cambria" w:hAnsi="Cambria" w:cs="Cambria"/>
      <w:b/>
      <w:sz w:val="36"/>
      <w:szCs w:val="36"/>
    </w:rPr>
  </w:style>
  <w:style w:type="paragraph" w:styleId="Titolo3">
    <w:name w:val="heading 3"/>
    <w:basedOn w:val="Normale"/>
    <w:next w:val="Normale"/>
    <w:uiPriority w:val="9"/>
    <w:unhideWhenUsed/>
    <w:qFormat/>
    <w:pPr>
      <w:keepNext/>
      <w:keepLines/>
      <w:spacing w:before="280" w:after="80"/>
      <w:outlineLvl w:val="2"/>
    </w:pPr>
    <w:rPr>
      <w:rFonts w:ascii="Cambria" w:eastAsia="Cambria" w:hAnsi="Cambria" w:cs="Cambria"/>
      <w:b/>
      <w:sz w:val="28"/>
      <w:szCs w:val="28"/>
    </w:rPr>
  </w:style>
  <w:style w:type="paragraph" w:styleId="Titolo4">
    <w:name w:val="heading 4"/>
    <w:basedOn w:val="Normale"/>
    <w:next w:val="Normale"/>
    <w:uiPriority w:val="9"/>
    <w:semiHidden/>
    <w:unhideWhenUsed/>
    <w:qFormat/>
    <w:pPr>
      <w:keepNext/>
      <w:keepLines/>
      <w:spacing w:before="240" w:after="40"/>
      <w:outlineLvl w:val="3"/>
    </w:pPr>
    <w:rPr>
      <w:rFonts w:ascii="Cambria" w:eastAsia="Cambria" w:hAnsi="Cambria" w:cs="Cambria"/>
      <w:b/>
    </w:rPr>
  </w:style>
  <w:style w:type="paragraph" w:styleId="Titolo5">
    <w:name w:val="heading 5"/>
    <w:basedOn w:val="Normale"/>
    <w:next w:val="Normale"/>
    <w:uiPriority w:val="9"/>
    <w:semiHidden/>
    <w:unhideWhenUsed/>
    <w:qFormat/>
    <w:pPr>
      <w:keepNext/>
      <w:keepLines/>
      <w:spacing w:before="220" w:after="40"/>
      <w:outlineLvl w:val="4"/>
    </w:pPr>
    <w:rPr>
      <w:rFonts w:ascii="Cambria" w:eastAsia="Cambria" w:hAnsi="Cambria" w:cs="Cambria"/>
      <w:b/>
      <w:sz w:val="22"/>
      <w:szCs w:val="22"/>
    </w:rPr>
  </w:style>
  <w:style w:type="paragraph" w:styleId="Titolo6">
    <w:name w:val="heading 6"/>
    <w:basedOn w:val="Normale"/>
    <w:next w:val="Normale"/>
    <w:uiPriority w:val="9"/>
    <w:semiHidden/>
    <w:unhideWhenUsed/>
    <w:qFormat/>
    <w:pPr>
      <w:keepNext/>
      <w:keepLines/>
      <w:spacing w:before="200" w:after="40"/>
      <w:outlineLvl w:val="5"/>
    </w:pPr>
    <w:rPr>
      <w:rFonts w:ascii="Cambria" w:eastAsia="Cambria" w:hAnsi="Cambria" w:cs="Cambria"/>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rFonts w:ascii="Cambria" w:eastAsia="Cambria" w:hAnsi="Cambria" w:cs="Cambria"/>
      <w:b/>
      <w:sz w:val="72"/>
      <w:szCs w:val="72"/>
    </w:rPr>
  </w:style>
  <w:style w:type="paragraph" w:styleId="Testofumetto">
    <w:name w:val="Balloon Text"/>
    <w:basedOn w:val="Normale"/>
    <w:link w:val="TestofumettoCarattere"/>
    <w:uiPriority w:val="99"/>
    <w:semiHidden/>
    <w:unhideWhenUsed/>
    <w:rsid w:val="00D47497"/>
    <w:rPr>
      <w:rFonts w:ascii="Lucida Grande" w:eastAsia="Cambria" w:hAnsi="Lucida Grande" w:cs="Lucida Grande"/>
      <w:sz w:val="18"/>
      <w:szCs w:val="18"/>
    </w:rPr>
  </w:style>
  <w:style w:type="character" w:customStyle="1" w:styleId="TestofumettoCarattere">
    <w:name w:val="Testo fumetto Carattere"/>
    <w:basedOn w:val="Carpredefinitoparagrafo"/>
    <w:link w:val="Testofumetto"/>
    <w:uiPriority w:val="99"/>
    <w:semiHidden/>
    <w:rsid w:val="00D47497"/>
    <w:rPr>
      <w:rFonts w:ascii="Lucida Grande" w:hAnsi="Lucida Grande" w:cs="Lucida Grande"/>
      <w:sz w:val="18"/>
      <w:szCs w:val="18"/>
    </w:rPr>
  </w:style>
  <w:style w:type="paragraph" w:styleId="Paragrafoelenco">
    <w:name w:val="List Paragraph"/>
    <w:basedOn w:val="Normale"/>
    <w:uiPriority w:val="34"/>
    <w:qFormat/>
    <w:rsid w:val="00251B07"/>
    <w:pPr>
      <w:ind w:left="720"/>
      <w:contextualSpacing/>
    </w:pPr>
    <w:rPr>
      <w:rFonts w:ascii="Cambria" w:eastAsia="Cambria" w:hAnsi="Cambria" w:cs="Cambria"/>
    </w:rPr>
  </w:style>
  <w:style w:type="paragraph" w:styleId="Testonotaapidipagina">
    <w:name w:val="footnote text"/>
    <w:basedOn w:val="Normale"/>
    <w:link w:val="TestonotaapidipaginaCarattere"/>
    <w:uiPriority w:val="99"/>
    <w:unhideWhenUsed/>
    <w:rsid w:val="009D250F"/>
    <w:rPr>
      <w:rFonts w:ascii="Cambria" w:eastAsia="Cambria" w:hAnsi="Cambria" w:cs="Cambria"/>
    </w:rPr>
  </w:style>
  <w:style w:type="character" w:customStyle="1" w:styleId="TestonotaapidipaginaCarattere">
    <w:name w:val="Testo nota a piè di pagina Carattere"/>
    <w:basedOn w:val="Carpredefinitoparagrafo"/>
    <w:link w:val="Testonotaapidipagina"/>
    <w:uiPriority w:val="99"/>
    <w:rsid w:val="009D250F"/>
  </w:style>
  <w:style w:type="character" w:styleId="Rimandonotaapidipagina">
    <w:name w:val="footnote reference"/>
    <w:basedOn w:val="Carpredefinitoparagrafo"/>
    <w:uiPriority w:val="99"/>
    <w:unhideWhenUsed/>
    <w:rsid w:val="009D250F"/>
    <w:rPr>
      <w:vertAlign w:val="superscript"/>
    </w:rPr>
  </w:style>
  <w:style w:type="paragraph" w:styleId="PreformattatoHTML">
    <w:name w:val="HTML Preformatted"/>
    <w:basedOn w:val="Normale"/>
    <w:link w:val="PreformattatoHTMLCarattere"/>
    <w:uiPriority w:val="99"/>
    <w:unhideWhenUsed/>
    <w:rsid w:val="009D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customStyle="1" w:styleId="PreformattatoHTMLCarattere">
    <w:name w:val="Preformattato HTML Carattere"/>
    <w:basedOn w:val="Carpredefinitoparagrafo"/>
    <w:link w:val="PreformattatoHTML"/>
    <w:uiPriority w:val="99"/>
    <w:rsid w:val="009D250F"/>
    <w:rPr>
      <w:rFonts w:ascii="Courier" w:hAnsi="Courier" w:cs="Courier"/>
      <w:sz w:val="20"/>
      <w:szCs w:val="20"/>
    </w:rPr>
  </w:style>
  <w:style w:type="paragraph" w:styleId="Intestazione">
    <w:name w:val="header"/>
    <w:basedOn w:val="Normale"/>
    <w:link w:val="IntestazioneCarattere"/>
    <w:uiPriority w:val="99"/>
    <w:unhideWhenUsed/>
    <w:rsid w:val="00E734AC"/>
    <w:pPr>
      <w:tabs>
        <w:tab w:val="center" w:pos="4819"/>
        <w:tab w:val="right" w:pos="9638"/>
      </w:tabs>
    </w:pPr>
    <w:rPr>
      <w:rFonts w:ascii="Cambria" w:eastAsia="Cambria" w:hAnsi="Cambria" w:cs="Cambria"/>
    </w:rPr>
  </w:style>
  <w:style w:type="character" w:customStyle="1" w:styleId="IntestazioneCarattere">
    <w:name w:val="Intestazione Carattere"/>
    <w:basedOn w:val="Carpredefinitoparagrafo"/>
    <w:link w:val="Intestazione"/>
    <w:uiPriority w:val="99"/>
    <w:rsid w:val="00E734AC"/>
  </w:style>
  <w:style w:type="paragraph" w:styleId="Pidipagina">
    <w:name w:val="footer"/>
    <w:basedOn w:val="Normale"/>
    <w:link w:val="PidipaginaCarattere"/>
    <w:uiPriority w:val="99"/>
    <w:unhideWhenUsed/>
    <w:rsid w:val="00E734AC"/>
    <w:pPr>
      <w:tabs>
        <w:tab w:val="center" w:pos="4819"/>
        <w:tab w:val="right" w:pos="9638"/>
      </w:tabs>
    </w:pPr>
    <w:rPr>
      <w:rFonts w:ascii="Cambria" w:eastAsia="Cambria" w:hAnsi="Cambria" w:cs="Cambria"/>
    </w:rPr>
  </w:style>
  <w:style w:type="character" w:customStyle="1" w:styleId="PidipaginaCarattere">
    <w:name w:val="Piè di pagina Carattere"/>
    <w:basedOn w:val="Carpredefinitoparagrafo"/>
    <w:link w:val="Pidipagina"/>
    <w:uiPriority w:val="99"/>
    <w:rsid w:val="00E734AC"/>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Carpredefinitoparagrafo"/>
    <w:rsid w:val="00314221"/>
  </w:style>
  <w:style w:type="character" w:customStyle="1" w:styleId="linkgazzetta">
    <w:name w:val="link_gazzetta"/>
    <w:basedOn w:val="Carpredefinitoparagrafo"/>
    <w:rsid w:val="00314221"/>
  </w:style>
  <w:style w:type="character" w:styleId="Collegamentoipertestuale">
    <w:name w:val="Hyperlink"/>
    <w:basedOn w:val="Carpredefinitoparagrafo"/>
    <w:uiPriority w:val="99"/>
    <w:unhideWhenUsed/>
    <w:rsid w:val="00314221"/>
    <w:rPr>
      <w:color w:val="0000FF"/>
      <w:u w:val="single"/>
    </w:rPr>
  </w:style>
  <w:style w:type="character" w:styleId="Collegamentovisitato">
    <w:name w:val="FollowedHyperlink"/>
    <w:basedOn w:val="Carpredefinitoparagrafo"/>
    <w:uiPriority w:val="99"/>
    <w:semiHidden/>
    <w:unhideWhenUsed/>
    <w:rsid w:val="00314221"/>
    <w:rPr>
      <w:color w:val="800080" w:themeColor="followedHyperlink"/>
      <w:u w:val="single"/>
    </w:rPr>
  </w:style>
  <w:style w:type="paragraph" w:styleId="Testonotadichiusura">
    <w:name w:val="endnote text"/>
    <w:basedOn w:val="Normale"/>
    <w:link w:val="TestonotadichiusuraCarattere"/>
    <w:uiPriority w:val="99"/>
    <w:semiHidden/>
    <w:unhideWhenUsed/>
    <w:rsid w:val="0007277D"/>
    <w:rPr>
      <w:rFonts w:ascii="Cambria" w:eastAsia="Cambria" w:hAnsi="Cambria" w:cs="Cambria"/>
      <w:sz w:val="20"/>
      <w:szCs w:val="20"/>
    </w:rPr>
  </w:style>
  <w:style w:type="character" w:customStyle="1" w:styleId="TestonotadichiusuraCarattere">
    <w:name w:val="Testo nota di chiusura Carattere"/>
    <w:basedOn w:val="Carpredefinitoparagrafo"/>
    <w:link w:val="Testonotadichiusura"/>
    <w:uiPriority w:val="99"/>
    <w:semiHidden/>
    <w:rsid w:val="0007277D"/>
    <w:rPr>
      <w:sz w:val="20"/>
      <w:szCs w:val="20"/>
    </w:rPr>
  </w:style>
  <w:style w:type="character" w:styleId="Rimandonotadichiusura">
    <w:name w:val="endnote reference"/>
    <w:basedOn w:val="Carpredefinitoparagrafo"/>
    <w:uiPriority w:val="99"/>
    <w:semiHidden/>
    <w:unhideWhenUsed/>
    <w:rsid w:val="0007277D"/>
    <w:rPr>
      <w:vertAlign w:val="superscript"/>
    </w:rPr>
  </w:style>
  <w:style w:type="character" w:styleId="Menzionenonrisolta">
    <w:name w:val="Unresolved Mention"/>
    <w:basedOn w:val="Carpredefinitoparagrafo"/>
    <w:uiPriority w:val="99"/>
    <w:semiHidden/>
    <w:unhideWhenUsed/>
    <w:rsid w:val="00AA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617651">
      <w:bodyDiv w:val="1"/>
      <w:marLeft w:val="0"/>
      <w:marRight w:val="0"/>
      <w:marTop w:val="0"/>
      <w:marBottom w:val="0"/>
      <w:divBdr>
        <w:top w:val="none" w:sz="0" w:space="0" w:color="auto"/>
        <w:left w:val="none" w:sz="0" w:space="0" w:color="auto"/>
        <w:bottom w:val="none" w:sz="0" w:space="0" w:color="auto"/>
        <w:right w:val="none" w:sz="0" w:space="0" w:color="auto"/>
      </w:divBdr>
    </w:div>
    <w:div w:id="524751343">
      <w:bodyDiv w:val="1"/>
      <w:marLeft w:val="0"/>
      <w:marRight w:val="0"/>
      <w:marTop w:val="0"/>
      <w:marBottom w:val="0"/>
      <w:divBdr>
        <w:top w:val="none" w:sz="0" w:space="0" w:color="auto"/>
        <w:left w:val="none" w:sz="0" w:space="0" w:color="auto"/>
        <w:bottom w:val="none" w:sz="0" w:space="0" w:color="auto"/>
        <w:right w:val="none" w:sz="0" w:space="0" w:color="auto"/>
      </w:divBdr>
    </w:div>
    <w:div w:id="1012563657">
      <w:bodyDiv w:val="1"/>
      <w:marLeft w:val="0"/>
      <w:marRight w:val="0"/>
      <w:marTop w:val="0"/>
      <w:marBottom w:val="0"/>
      <w:divBdr>
        <w:top w:val="none" w:sz="0" w:space="0" w:color="auto"/>
        <w:left w:val="none" w:sz="0" w:space="0" w:color="auto"/>
        <w:bottom w:val="none" w:sz="0" w:space="0" w:color="auto"/>
        <w:right w:val="none" w:sz="0" w:space="0" w:color="auto"/>
      </w:divBdr>
    </w:div>
    <w:div w:id="1287471299">
      <w:bodyDiv w:val="1"/>
      <w:marLeft w:val="0"/>
      <w:marRight w:val="0"/>
      <w:marTop w:val="0"/>
      <w:marBottom w:val="0"/>
      <w:divBdr>
        <w:top w:val="none" w:sz="0" w:space="0" w:color="auto"/>
        <w:left w:val="none" w:sz="0" w:space="0" w:color="auto"/>
        <w:bottom w:val="none" w:sz="0" w:space="0" w:color="auto"/>
        <w:right w:val="none" w:sz="0" w:space="0" w:color="auto"/>
      </w:divBdr>
    </w:div>
    <w:div w:id="1540122606">
      <w:bodyDiv w:val="1"/>
      <w:marLeft w:val="0"/>
      <w:marRight w:val="0"/>
      <w:marTop w:val="0"/>
      <w:marBottom w:val="0"/>
      <w:divBdr>
        <w:top w:val="none" w:sz="0" w:space="0" w:color="auto"/>
        <w:left w:val="none" w:sz="0" w:space="0" w:color="auto"/>
        <w:bottom w:val="none" w:sz="0" w:space="0" w:color="auto"/>
        <w:right w:val="none" w:sz="0" w:space="0" w:color="auto"/>
      </w:divBdr>
    </w:div>
    <w:div w:id="1864249693">
      <w:bodyDiv w:val="1"/>
      <w:marLeft w:val="0"/>
      <w:marRight w:val="0"/>
      <w:marTop w:val="0"/>
      <w:marBottom w:val="0"/>
      <w:divBdr>
        <w:top w:val="none" w:sz="0" w:space="0" w:color="auto"/>
        <w:left w:val="none" w:sz="0" w:space="0" w:color="auto"/>
        <w:bottom w:val="none" w:sz="0" w:space="0" w:color="auto"/>
        <w:right w:val="none" w:sz="0" w:space="0" w:color="auto"/>
      </w:divBdr>
    </w:div>
    <w:div w:id="2117554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inistro@pec.politicheagricole.gov.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pec.agenziariscossione.gov.it" TargetMode="External"/><Relationship Id="rId5" Type="http://schemas.openxmlformats.org/officeDocument/2006/relationships/settings" Target="settings.xml"/><Relationship Id="rId10" Type="http://schemas.openxmlformats.org/officeDocument/2006/relationships/hyperlink" Target="mailto:mef@pec.mef.gov.it" TargetMode="External"/><Relationship Id="rId4" Type="http://schemas.openxmlformats.org/officeDocument/2006/relationships/styles" Target="styles.xml"/><Relationship Id="rId9" Type="http://schemas.openxmlformats.org/officeDocument/2006/relationships/hyperlink" Target="mailto:adm.direttore@pec.adm.go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G8wMDK79U8AlU+2uL65N8mZcd1w==">AMUW2mXmBvkUqAwwwDKDmy5yg7txVrGyEdXlTvIaLNfdaDhY0oiaqbuKpj0KReKt3jgP++czuXwAsBAGj+fGuqCWLsWWWN44fPt7bJPODW8KNpTzTjrzivVR+E4CvrpX40MNPIGLXFV3</go:docsCustomData>
</go:gDocsCustomXmlDataStorage>
</file>

<file path=customXml/itemProps1.xml><?xml version="1.0" encoding="utf-8"?>
<ds:datastoreItem xmlns:ds="http://schemas.openxmlformats.org/officeDocument/2006/customXml" ds:itemID="{90C31E6E-789C-DF45-BDAA-981688787EB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1463</Words>
  <Characters>8340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ROBERTO NISIO</cp:lastModifiedBy>
  <cp:revision>19</cp:revision>
  <dcterms:created xsi:type="dcterms:W3CDTF">2020-11-18T18:19:00Z</dcterms:created>
  <dcterms:modified xsi:type="dcterms:W3CDTF">2020-11-19T09:31:00Z</dcterms:modified>
</cp:coreProperties>
</file>